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65396" w14:textId="20FAADD1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126758" w:rsidRPr="00993A41">
        <w:t>2</w:t>
      </w:r>
      <w:r w:rsidRPr="00993A41">
        <w:t xml:space="preserve"> #</w:t>
      </w:r>
      <w:r w:rsidR="00126758" w:rsidRPr="00993A41">
        <w:t>1</w:t>
      </w:r>
      <w:r w:rsidR="008F5F21">
        <w:t>10</w:t>
      </w:r>
      <w:r w:rsidR="006414C8">
        <w:t>-</w:t>
      </w:r>
      <w:r w:rsidR="006C1F9E" w:rsidRPr="00993A41">
        <w:t>e</w:t>
      </w:r>
      <w:r w:rsidRPr="00993A41">
        <w:tab/>
      </w:r>
      <w:proofErr w:type="spellStart"/>
      <w:r w:rsidRPr="00993A41">
        <w:rPr>
          <w:sz w:val="32"/>
          <w:szCs w:val="32"/>
        </w:rPr>
        <w:t>Tdoc</w:t>
      </w:r>
      <w:proofErr w:type="spellEnd"/>
      <w:r w:rsidRPr="00993A41">
        <w:rPr>
          <w:sz w:val="32"/>
          <w:szCs w:val="32"/>
        </w:rPr>
        <w:t xml:space="preserve"> </w:t>
      </w:r>
      <w:r w:rsidR="00835AA4" w:rsidRPr="006414C8">
        <w:rPr>
          <w:sz w:val="32"/>
          <w:szCs w:val="32"/>
        </w:rPr>
        <w:t>R2-</w:t>
      </w:r>
      <w:r w:rsidR="00E209E3" w:rsidRPr="00E209E3">
        <w:rPr>
          <w:sz w:val="32"/>
          <w:szCs w:val="32"/>
        </w:rPr>
        <w:t>2004691</w:t>
      </w:r>
    </w:p>
    <w:p w14:paraId="68C15A83" w14:textId="1E615CC6" w:rsidR="00E90E49" w:rsidRPr="00993A41" w:rsidRDefault="003009ED" w:rsidP="00311702">
      <w:pPr>
        <w:pStyle w:val="3GPPHeader"/>
      </w:pPr>
      <w:r w:rsidRPr="00993A41">
        <w:t>Electronic meeting</w:t>
      </w:r>
      <w:r w:rsidR="006C1F9E" w:rsidRPr="00993A41">
        <w:t xml:space="preserve">, </w:t>
      </w:r>
      <w:r w:rsidR="003A5F01">
        <w:t>1</w:t>
      </w:r>
      <w:r w:rsidR="003A5F01" w:rsidRPr="003A5F01">
        <w:rPr>
          <w:vertAlign w:val="superscript"/>
        </w:rPr>
        <w:t>st</w:t>
      </w:r>
      <w:r w:rsidR="003A5F01">
        <w:t xml:space="preserve"> – 12</w:t>
      </w:r>
      <w:r w:rsidR="003A5F01" w:rsidRPr="003A5F01">
        <w:rPr>
          <w:vertAlign w:val="superscript"/>
        </w:rPr>
        <w:t>th</w:t>
      </w:r>
      <w:r w:rsidR="003A5F01">
        <w:t xml:space="preserve"> June</w:t>
      </w:r>
      <w:r w:rsidR="006C1F9E" w:rsidRPr="00993A41">
        <w:t xml:space="preserve"> 2020</w:t>
      </w:r>
    </w:p>
    <w:p w14:paraId="5CBA3632" w14:textId="77777777" w:rsidR="00E90E49" w:rsidRPr="00993A41" w:rsidRDefault="00E90E49" w:rsidP="00357380">
      <w:pPr>
        <w:pStyle w:val="3GPPHeader"/>
      </w:pPr>
    </w:p>
    <w:p w14:paraId="6EBDF780" w14:textId="1620F0D4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EE01EA" w:rsidRPr="00CF2790">
        <w:rPr>
          <w:sz w:val="22"/>
        </w:rPr>
        <w:t>7</w:t>
      </w:r>
      <w:r w:rsidR="001D6D9E" w:rsidRPr="00CF2790">
        <w:rPr>
          <w:sz w:val="22"/>
        </w:rPr>
        <w:t>.</w:t>
      </w:r>
      <w:r w:rsidR="00EE01EA" w:rsidRPr="00CF2790">
        <w:rPr>
          <w:sz w:val="22"/>
        </w:rPr>
        <w:t>3.</w:t>
      </w:r>
      <w:r w:rsidR="00CF2790" w:rsidRPr="00CF2790">
        <w:rPr>
          <w:sz w:val="22"/>
        </w:rPr>
        <w:t>3</w:t>
      </w:r>
    </w:p>
    <w:p w14:paraId="08CCD374" w14:textId="77777777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F64C2B" w:rsidRPr="00993A41">
        <w:rPr>
          <w:sz w:val="22"/>
        </w:rPr>
        <w:t>Ericsson</w:t>
      </w:r>
    </w:p>
    <w:p w14:paraId="34D8B6A0" w14:textId="016C9329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F04204" w:rsidRPr="00F04204">
        <w:rPr>
          <w:sz w:val="22"/>
        </w:rPr>
        <w:t>Open issues on UE capabilities at DAPS HO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371EA98" w14:textId="698E7A31" w:rsidR="00493396" w:rsidRPr="008B1AE8" w:rsidRDefault="00D35EEC" w:rsidP="001D6D9E">
      <w:pPr>
        <w:pStyle w:val="BodyText"/>
        <w:rPr>
          <w:rFonts w:cs="Arial"/>
          <w:sz w:val="20"/>
          <w:szCs w:val="20"/>
        </w:rPr>
      </w:pPr>
      <w:r w:rsidRPr="008B1AE8">
        <w:rPr>
          <w:rFonts w:cs="Arial"/>
          <w:sz w:val="20"/>
          <w:szCs w:val="20"/>
        </w:rPr>
        <w:t>There have been some discussions on the UE capabilities for the Rel-16 mobility enhancement features</w:t>
      </w:r>
      <w:r w:rsidR="007E0AA7">
        <w:rPr>
          <w:rFonts w:cs="Arial"/>
          <w:sz w:val="20"/>
          <w:szCs w:val="20"/>
        </w:rPr>
        <w:t>.</w:t>
      </w:r>
    </w:p>
    <w:p w14:paraId="11844AEF" w14:textId="3EB98254" w:rsidR="00DF380A" w:rsidRPr="00F04204" w:rsidRDefault="00DF380A" w:rsidP="001D6D9E">
      <w:pPr>
        <w:pStyle w:val="BodyText"/>
        <w:rPr>
          <w:rFonts w:cs="Arial"/>
          <w:sz w:val="20"/>
          <w:szCs w:val="20"/>
          <w:highlight w:val="yellow"/>
        </w:rPr>
      </w:pPr>
      <w:r w:rsidRPr="00550B77">
        <w:rPr>
          <w:rFonts w:cs="Arial"/>
          <w:sz w:val="20"/>
          <w:szCs w:val="20"/>
        </w:rPr>
        <w:t>At the RAN2#109</w:t>
      </w:r>
      <w:r w:rsidR="001E6BF6" w:rsidRPr="00550B77">
        <w:rPr>
          <w:rFonts w:cs="Arial"/>
          <w:sz w:val="20"/>
          <w:szCs w:val="20"/>
        </w:rPr>
        <w:t>-</w:t>
      </w:r>
      <w:r w:rsidRPr="00550B77">
        <w:rPr>
          <w:rFonts w:cs="Arial"/>
          <w:sz w:val="20"/>
          <w:szCs w:val="20"/>
        </w:rPr>
        <w:t xml:space="preserve">e meeting </w:t>
      </w:r>
      <w:r w:rsidR="008B1AE8">
        <w:rPr>
          <w:rFonts w:cs="Arial"/>
          <w:sz w:val="20"/>
          <w:szCs w:val="20"/>
        </w:rPr>
        <w:t>the</w:t>
      </w:r>
      <w:r w:rsidR="0017772D">
        <w:rPr>
          <w:rFonts w:cs="Arial"/>
          <w:sz w:val="20"/>
          <w:szCs w:val="20"/>
        </w:rPr>
        <w:t xml:space="preserve">re were then the </w:t>
      </w:r>
      <w:r w:rsidR="008B1AE8">
        <w:rPr>
          <w:rFonts w:cs="Arial"/>
          <w:sz w:val="20"/>
          <w:szCs w:val="20"/>
        </w:rPr>
        <w:t>following agreements</w:t>
      </w:r>
      <w:r w:rsidRPr="0017772D">
        <w:rPr>
          <w:rFonts w:cs="Arial"/>
          <w:sz w:val="20"/>
          <w:szCs w:val="20"/>
        </w:rPr>
        <w:t>:</w:t>
      </w:r>
    </w:p>
    <w:p w14:paraId="249CCA88" w14:textId="77777777" w:rsidR="00D35EEC" w:rsidRDefault="00D35EEC" w:rsidP="00D35EE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363"/>
        <w:rPr>
          <w:rFonts w:cs="Arial"/>
          <w:b/>
          <w:bCs/>
        </w:rPr>
      </w:pPr>
      <w:r w:rsidRPr="003B18BF">
        <w:rPr>
          <w:rFonts w:cs="Arial"/>
          <w:b/>
          <w:bCs/>
        </w:rPr>
        <w:t>Agreements [AT109e][2</w:t>
      </w:r>
      <w:r>
        <w:rPr>
          <w:rFonts w:cs="Arial"/>
          <w:b/>
          <w:bCs/>
        </w:rPr>
        <w:t>11</w:t>
      </w:r>
      <w:r w:rsidRPr="003B18BF">
        <w:rPr>
          <w:rFonts w:cs="Arial"/>
          <w:b/>
          <w:bCs/>
        </w:rPr>
        <w:t>][MOB]</w:t>
      </w:r>
      <w:r>
        <w:rPr>
          <w:rFonts w:cs="Arial"/>
          <w:b/>
          <w:bCs/>
        </w:rPr>
        <w:t xml:space="preserve"> (</w:t>
      </w:r>
      <w:hyperlink r:id="rId11" w:history="1">
        <w:r>
          <w:rPr>
            <w:rStyle w:val="Hyperlink"/>
          </w:rPr>
          <w:t>R2-2001727</w:t>
        </w:r>
      </w:hyperlink>
      <w:r>
        <w:rPr>
          <w:rFonts w:cs="Arial"/>
          <w:b/>
          <w:bCs/>
        </w:rPr>
        <w:t>)</w:t>
      </w:r>
    </w:p>
    <w:p w14:paraId="2E12874B" w14:textId="77777777" w:rsidR="00D35EEC" w:rsidRPr="003B18BF" w:rsidRDefault="00D35EEC" w:rsidP="00D35EE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363"/>
        <w:rPr>
          <w:rFonts w:cs="Arial"/>
          <w:b/>
          <w:bCs/>
        </w:rPr>
      </w:pPr>
    </w:p>
    <w:p w14:paraId="17DD1174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>1: Agree the capabilities (x1-1, x1-3, x2, x3) including the revisions as indicated in the table for NR. May be revised based on further inputs</w:t>
      </w:r>
    </w:p>
    <w:p w14:paraId="16F35461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>2: Agree the capabilities (x1-1, x1-3) including the revisions as indicated in the table for LTE. May be revised based on further inputs</w:t>
      </w:r>
    </w:p>
    <w:p w14:paraId="0FF8BA6C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3: Intra </w:t>
      </w:r>
      <w:proofErr w:type="spellStart"/>
      <w:r w:rsidRPr="00E315D7">
        <w:rPr>
          <w:rFonts w:eastAsiaTheme="minorEastAsia" w:cs="Arial"/>
          <w:szCs w:val="21"/>
        </w:rPr>
        <w:t>freq</w:t>
      </w:r>
      <w:proofErr w:type="spellEnd"/>
      <w:r w:rsidRPr="00E315D7">
        <w:rPr>
          <w:rFonts w:eastAsiaTheme="minorEastAsia" w:cs="Arial"/>
          <w:szCs w:val="21"/>
        </w:rPr>
        <w:t xml:space="preserve"> DAPS can be supported for </w:t>
      </w:r>
      <w:proofErr w:type="spellStart"/>
      <w:r w:rsidRPr="00E315D7">
        <w:rPr>
          <w:rFonts w:eastAsiaTheme="minorEastAsia" w:cs="Arial"/>
          <w:szCs w:val="21"/>
        </w:rPr>
        <w:t>bandwidthClass</w:t>
      </w:r>
      <w:proofErr w:type="spellEnd"/>
      <w:r w:rsidRPr="00E315D7">
        <w:rPr>
          <w:rFonts w:eastAsiaTheme="minorEastAsia" w:cs="Arial"/>
          <w:szCs w:val="21"/>
        </w:rPr>
        <w:t xml:space="preserve"> B/C and above UE (e.g. </w:t>
      </w:r>
      <w:proofErr w:type="spellStart"/>
      <w:r w:rsidRPr="00E315D7">
        <w:rPr>
          <w:rFonts w:eastAsiaTheme="minorEastAsia" w:cs="Arial"/>
          <w:szCs w:val="21"/>
        </w:rPr>
        <w:t>bandwidthClass</w:t>
      </w:r>
      <w:proofErr w:type="spellEnd"/>
      <w:r w:rsidRPr="00E315D7">
        <w:rPr>
          <w:rFonts w:eastAsiaTheme="minorEastAsia" w:cs="Arial"/>
          <w:szCs w:val="21"/>
        </w:rPr>
        <w:t xml:space="preserve"> B/C UE, the UE supports </w:t>
      </w:r>
      <w:proofErr w:type="spellStart"/>
      <w:r w:rsidRPr="00E315D7">
        <w:rPr>
          <w:rFonts w:eastAsiaTheme="minorEastAsia" w:cs="Arial"/>
          <w:szCs w:val="21"/>
        </w:rPr>
        <w:t>intraF</w:t>
      </w:r>
      <w:proofErr w:type="spellEnd"/>
      <w:r w:rsidRPr="00E315D7">
        <w:rPr>
          <w:rFonts w:eastAsiaTheme="minorEastAsia" w:cs="Arial"/>
          <w:szCs w:val="21"/>
        </w:rPr>
        <w:t xml:space="preserve"> DAPS with bandwidth class A for the band against source and target). The capability intra-</w:t>
      </w:r>
      <w:proofErr w:type="spellStart"/>
      <w:r w:rsidRPr="00E315D7">
        <w:rPr>
          <w:rFonts w:eastAsiaTheme="minorEastAsia" w:cs="Arial"/>
          <w:szCs w:val="21"/>
        </w:rPr>
        <w:t>FreqDAPS</w:t>
      </w:r>
      <w:proofErr w:type="spellEnd"/>
      <w:r w:rsidRPr="00E315D7">
        <w:rPr>
          <w:rFonts w:eastAsiaTheme="minorEastAsia" w:cs="Arial"/>
          <w:szCs w:val="21"/>
        </w:rPr>
        <w:t xml:space="preserve"> is put under </w:t>
      </w:r>
      <w:proofErr w:type="spellStart"/>
      <w:r w:rsidRPr="00E315D7">
        <w:rPr>
          <w:rFonts w:eastAsiaTheme="minorEastAsia" w:cs="Arial"/>
          <w:szCs w:val="21"/>
        </w:rPr>
        <w:t>bandParameter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54148904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4: For inter </w:t>
      </w:r>
      <w:proofErr w:type="spellStart"/>
      <w:r w:rsidRPr="00E315D7">
        <w:rPr>
          <w:rFonts w:eastAsiaTheme="minorEastAsia" w:cs="Arial"/>
          <w:szCs w:val="21"/>
        </w:rPr>
        <w:t>freq</w:t>
      </w:r>
      <w:proofErr w:type="spellEnd"/>
      <w:r w:rsidRPr="00E315D7">
        <w:rPr>
          <w:rFonts w:eastAsiaTheme="minorEastAsia" w:cs="Arial"/>
          <w:szCs w:val="21"/>
        </w:rPr>
        <w:t xml:space="preserve"> DAPS, the capability inter-</w:t>
      </w:r>
      <w:proofErr w:type="spellStart"/>
      <w:r w:rsidRPr="00E315D7">
        <w:rPr>
          <w:rFonts w:eastAsiaTheme="minorEastAsia" w:cs="Arial"/>
          <w:szCs w:val="21"/>
        </w:rPr>
        <w:t>FreqDAPS</w:t>
      </w:r>
      <w:proofErr w:type="spellEnd"/>
      <w:r w:rsidRPr="00E315D7">
        <w:rPr>
          <w:rFonts w:eastAsiaTheme="minorEastAsia" w:cs="Arial"/>
          <w:szCs w:val="21"/>
        </w:rPr>
        <w:t xml:space="preserve"> is specified per BC (for intra band, inter band cases). </w:t>
      </w:r>
      <w:proofErr w:type="gramStart"/>
      <w:r w:rsidRPr="00E315D7">
        <w:rPr>
          <w:rFonts w:eastAsiaTheme="minorEastAsia" w:cs="Arial"/>
          <w:szCs w:val="21"/>
        </w:rPr>
        <w:t>.It</w:t>
      </w:r>
      <w:proofErr w:type="gramEnd"/>
      <w:r w:rsidRPr="00E315D7">
        <w:rPr>
          <w:rFonts w:eastAsiaTheme="minorEastAsia" w:cs="Arial"/>
          <w:szCs w:val="21"/>
        </w:rPr>
        <w:t xml:space="preserve">  is put under existing CA </w:t>
      </w:r>
      <w:proofErr w:type="spellStart"/>
      <w:r w:rsidRPr="00E315D7">
        <w:rPr>
          <w:rFonts w:eastAsiaTheme="minorEastAsia" w:cs="Arial"/>
          <w:szCs w:val="21"/>
        </w:rPr>
        <w:t>bandcombiantion</w:t>
      </w:r>
      <w:proofErr w:type="spellEnd"/>
      <w:r w:rsidRPr="00E315D7">
        <w:rPr>
          <w:rFonts w:eastAsiaTheme="minorEastAsia" w:cs="Arial"/>
          <w:szCs w:val="21"/>
        </w:rPr>
        <w:t xml:space="preserve">, and same as CA, the CCs in the </w:t>
      </w:r>
      <w:proofErr w:type="spellStart"/>
      <w:r w:rsidRPr="00E315D7">
        <w:rPr>
          <w:rFonts w:eastAsiaTheme="minorEastAsia" w:cs="Arial"/>
          <w:szCs w:val="21"/>
        </w:rPr>
        <w:t>bandcombination</w:t>
      </w:r>
      <w:proofErr w:type="spellEnd"/>
      <w:r w:rsidRPr="00E315D7">
        <w:rPr>
          <w:rFonts w:eastAsiaTheme="minorEastAsia" w:cs="Arial"/>
          <w:szCs w:val="21"/>
        </w:rPr>
        <w:t xml:space="preserve"> with UL can all be source or target </w:t>
      </w:r>
      <w:proofErr w:type="spellStart"/>
      <w:r w:rsidRPr="00E315D7">
        <w:rPr>
          <w:rFonts w:eastAsiaTheme="minorEastAsia" w:cs="Arial"/>
          <w:szCs w:val="21"/>
        </w:rPr>
        <w:t>PCell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32D938BE" w14:textId="77777777" w:rsidR="00D35EEC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FB7A3E">
        <w:rPr>
          <w:rFonts w:eastAsiaTheme="minorEastAsia" w:cs="Arial"/>
          <w:szCs w:val="21"/>
        </w:rPr>
        <w:t xml:space="preserve">5: Below RAN4 capabilities are introduced as </w:t>
      </w:r>
      <w:proofErr w:type="gramStart"/>
      <w:r w:rsidRPr="00FB7A3E">
        <w:rPr>
          <w:rFonts w:eastAsiaTheme="minorEastAsia" w:cs="Arial"/>
          <w:szCs w:val="21"/>
        </w:rPr>
        <w:t>baseline, and</w:t>
      </w:r>
      <w:proofErr w:type="gramEnd"/>
      <w:r w:rsidRPr="00FB7A3E">
        <w:rPr>
          <w:rFonts w:eastAsiaTheme="minorEastAsia" w:cs="Arial"/>
          <w:szCs w:val="21"/>
        </w:rPr>
        <w:t xml:space="preserve"> may be revised if more inputs are received from RAN4.</w:t>
      </w:r>
    </w:p>
    <w:p w14:paraId="5262A624" w14:textId="77777777" w:rsidR="00D35EEC" w:rsidRPr="00C344BA" w:rsidRDefault="00D35EEC" w:rsidP="00D35EE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363"/>
        <w:rPr>
          <w:rFonts w:cs="Times New Roman"/>
          <w:bCs/>
        </w:rPr>
      </w:pPr>
      <w:r w:rsidRPr="00C344BA">
        <w:rPr>
          <w:rFonts w:cs="Times New Roman"/>
          <w:b/>
          <w:bCs/>
        </w:rPr>
        <w:t>•</w:t>
      </w:r>
      <w:r w:rsidRPr="00C344BA">
        <w:rPr>
          <w:rFonts w:cs="Times New Roman"/>
          <w:b/>
          <w:bCs/>
        </w:rPr>
        <w:tab/>
        <w:t xml:space="preserve">Per BC: </w:t>
      </w:r>
      <w:proofErr w:type="spellStart"/>
      <w:r w:rsidRPr="00C344BA">
        <w:rPr>
          <w:rFonts w:cs="Times New Roman"/>
          <w:b/>
          <w:bCs/>
        </w:rPr>
        <w:t>AsyncDAPS</w:t>
      </w:r>
      <w:proofErr w:type="spellEnd"/>
      <w:r w:rsidRPr="00C344BA">
        <w:rPr>
          <w:rFonts w:cs="Times New Roman"/>
          <w:b/>
          <w:bCs/>
        </w:rPr>
        <w:t xml:space="preserve">, </w:t>
      </w:r>
      <w:proofErr w:type="spellStart"/>
      <w:r w:rsidRPr="00C344BA">
        <w:rPr>
          <w:rFonts w:cs="Times New Roman"/>
          <w:b/>
          <w:bCs/>
        </w:rPr>
        <w:t>supportedNumberTAG</w:t>
      </w:r>
      <w:proofErr w:type="spellEnd"/>
      <w:r w:rsidRPr="00C344BA">
        <w:rPr>
          <w:rFonts w:cs="Times New Roman"/>
          <w:b/>
          <w:bCs/>
        </w:rPr>
        <w:t xml:space="preserve">, </w:t>
      </w:r>
      <w:bookmarkStart w:id="0" w:name="_Hlk40793554"/>
      <w:proofErr w:type="spellStart"/>
      <w:r w:rsidRPr="00C344BA">
        <w:rPr>
          <w:rFonts w:cs="Times New Roman"/>
          <w:b/>
          <w:bCs/>
        </w:rPr>
        <w:t>singleUL</w:t>
      </w:r>
      <w:proofErr w:type="spellEnd"/>
      <w:r w:rsidRPr="00C344BA">
        <w:rPr>
          <w:rFonts w:cs="Times New Roman"/>
          <w:b/>
          <w:bCs/>
        </w:rPr>
        <w:t>-Transmission</w:t>
      </w:r>
      <w:bookmarkEnd w:id="0"/>
      <w:r w:rsidRPr="00C344BA">
        <w:rPr>
          <w:rFonts w:cs="Times New Roman"/>
          <w:b/>
          <w:bCs/>
        </w:rPr>
        <w:t xml:space="preserve">; </w:t>
      </w:r>
    </w:p>
    <w:p w14:paraId="2D8C9A1B" w14:textId="77777777" w:rsidR="00D35EEC" w:rsidRPr="00940B45" w:rsidRDefault="00D35EEC" w:rsidP="00D35EE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363"/>
        <w:rPr>
          <w:bCs/>
        </w:rPr>
      </w:pPr>
      <w:r w:rsidRPr="00C344BA">
        <w:rPr>
          <w:b/>
          <w:bCs/>
        </w:rPr>
        <w:t>•</w:t>
      </w:r>
      <w:r w:rsidRPr="00C344BA">
        <w:rPr>
          <w:b/>
          <w:bCs/>
        </w:rPr>
        <w:tab/>
        <w:t xml:space="preserve">Per Band per BC: </w:t>
      </w:r>
      <w:proofErr w:type="spellStart"/>
      <w:r w:rsidRPr="00C344BA">
        <w:rPr>
          <w:b/>
          <w:bCs/>
        </w:rPr>
        <w:t>intraBandDiffSCS</w:t>
      </w:r>
      <w:proofErr w:type="spellEnd"/>
      <w:r w:rsidRPr="00C344BA">
        <w:rPr>
          <w:b/>
          <w:bCs/>
        </w:rPr>
        <w:t xml:space="preserve">, </w:t>
      </w:r>
      <w:proofErr w:type="spellStart"/>
      <w:r w:rsidRPr="00C344BA">
        <w:rPr>
          <w:b/>
          <w:bCs/>
        </w:rPr>
        <w:t>intraFreq</w:t>
      </w:r>
      <w:proofErr w:type="spellEnd"/>
      <w:r w:rsidRPr="00C344BA">
        <w:rPr>
          <w:b/>
          <w:bCs/>
        </w:rPr>
        <w:t>-DAPS;</w:t>
      </w:r>
    </w:p>
    <w:p w14:paraId="0600CE49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6: Reuse CA capability </w:t>
      </w:r>
      <w:proofErr w:type="spellStart"/>
      <w:r w:rsidRPr="00E315D7">
        <w:rPr>
          <w:rFonts w:eastAsiaTheme="minorEastAsia" w:cs="Arial"/>
          <w:szCs w:val="21"/>
        </w:rPr>
        <w:t>supportedNumberTAG</w:t>
      </w:r>
      <w:proofErr w:type="spellEnd"/>
      <w:r w:rsidRPr="00E315D7">
        <w:rPr>
          <w:rFonts w:eastAsiaTheme="minorEastAsia" w:cs="Arial"/>
          <w:szCs w:val="21"/>
        </w:rPr>
        <w:t xml:space="preserve"> for DAPS handover. </w:t>
      </w:r>
    </w:p>
    <w:p w14:paraId="67F67D24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>7: Per Band per BC capability (</w:t>
      </w:r>
      <w:proofErr w:type="spellStart"/>
      <w:r w:rsidRPr="00E315D7">
        <w:rPr>
          <w:rFonts w:eastAsiaTheme="minorEastAsia" w:cs="Arial"/>
          <w:szCs w:val="21"/>
        </w:rPr>
        <w:t>intraBandDiffSCS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intraFreq</w:t>
      </w:r>
      <w:proofErr w:type="spellEnd"/>
      <w:r w:rsidRPr="00E315D7">
        <w:rPr>
          <w:rFonts w:eastAsiaTheme="minorEastAsia" w:cs="Arial"/>
          <w:szCs w:val="21"/>
        </w:rPr>
        <w:t xml:space="preserve">-DAPS) is put in </w:t>
      </w:r>
      <w:proofErr w:type="spellStart"/>
      <w:r w:rsidRPr="00E315D7">
        <w:rPr>
          <w:rFonts w:eastAsiaTheme="minorEastAsia" w:cs="Arial"/>
          <w:szCs w:val="21"/>
        </w:rPr>
        <w:t>BandParameters</w:t>
      </w:r>
      <w:proofErr w:type="spellEnd"/>
      <w:r w:rsidRPr="00E315D7">
        <w:rPr>
          <w:rFonts w:eastAsiaTheme="minorEastAsia" w:cs="Arial"/>
          <w:szCs w:val="21"/>
        </w:rPr>
        <w:t>.</w:t>
      </w:r>
    </w:p>
    <w:p w14:paraId="762BB7E0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8: Baseline is </w:t>
      </w:r>
      <w:proofErr w:type="spellStart"/>
      <w:r w:rsidRPr="00E315D7">
        <w:rPr>
          <w:rFonts w:eastAsiaTheme="minorEastAsia" w:cs="Arial"/>
          <w:szCs w:val="21"/>
        </w:rPr>
        <w:t>UplinkPowerSharingDAPS</w:t>
      </w:r>
      <w:proofErr w:type="spellEnd"/>
      <w:r w:rsidRPr="00E315D7">
        <w:rPr>
          <w:rFonts w:eastAsiaTheme="minorEastAsia" w:cs="Arial"/>
          <w:szCs w:val="21"/>
        </w:rPr>
        <w:t xml:space="preserve">-HO, pdcch-BlindDetectionMCG1-UE and pdcch-BlindDetectionMCG2-UE are introduced as per BC capabilities. </w:t>
      </w:r>
      <w:proofErr w:type="gramStart"/>
      <w:r w:rsidRPr="00E315D7">
        <w:rPr>
          <w:rFonts w:eastAsiaTheme="minorEastAsia" w:cs="Arial"/>
          <w:szCs w:val="21"/>
        </w:rPr>
        <w:t>May  be</w:t>
      </w:r>
      <w:proofErr w:type="gramEnd"/>
      <w:r w:rsidRPr="00E315D7">
        <w:rPr>
          <w:rFonts w:eastAsiaTheme="minorEastAsia" w:cs="Arial"/>
          <w:szCs w:val="21"/>
        </w:rPr>
        <w:t xml:space="preserve"> revised if more inputs are received from RAN1., .e.g. on whether pdcch-BlindDetectionMCG1-UE and pdcch-BlindDetectionMCG2-UE can be per UE as DC. </w:t>
      </w:r>
    </w:p>
    <w:p w14:paraId="0639F880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9: </w:t>
      </w:r>
      <w:proofErr w:type="spellStart"/>
      <w:r w:rsidRPr="00E315D7">
        <w:rPr>
          <w:rFonts w:eastAsiaTheme="minorEastAsia" w:cs="Arial"/>
          <w:szCs w:val="21"/>
        </w:rPr>
        <w:t>pdcch-BlindDetectionSource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pdcch-BlindDetectionTarget</w:t>
      </w:r>
      <w:proofErr w:type="spellEnd"/>
      <w:r w:rsidRPr="00E315D7">
        <w:rPr>
          <w:rFonts w:eastAsiaTheme="minorEastAsia" w:cs="Arial"/>
          <w:szCs w:val="21"/>
        </w:rPr>
        <w:t xml:space="preserve"> and </w:t>
      </w:r>
      <w:proofErr w:type="spellStart"/>
      <w:proofErr w:type="gramStart"/>
      <w:r w:rsidRPr="00E315D7">
        <w:rPr>
          <w:rFonts w:eastAsiaTheme="minorEastAsia" w:cs="Arial"/>
          <w:szCs w:val="21"/>
        </w:rPr>
        <w:t>supportedNumberTAG</w:t>
      </w:r>
      <w:proofErr w:type="spellEnd"/>
      <w:r w:rsidRPr="00E315D7">
        <w:rPr>
          <w:rFonts w:eastAsiaTheme="minorEastAsia" w:cs="Arial"/>
          <w:szCs w:val="21"/>
        </w:rPr>
        <w:t>(</w:t>
      </w:r>
      <w:proofErr w:type="gramEnd"/>
      <w:r w:rsidRPr="00E315D7">
        <w:rPr>
          <w:rFonts w:eastAsiaTheme="minorEastAsia" w:cs="Arial"/>
          <w:szCs w:val="21"/>
        </w:rPr>
        <w:t xml:space="preserve">&gt;=2) are mandatory with capability for DAPS capable UE. FFS on </w:t>
      </w:r>
      <w:proofErr w:type="spellStart"/>
      <w:r w:rsidRPr="00E315D7">
        <w:rPr>
          <w:rFonts w:eastAsiaTheme="minorEastAsia" w:cs="Arial"/>
          <w:szCs w:val="21"/>
        </w:rPr>
        <w:t>intraFreqDAPS</w:t>
      </w:r>
      <w:proofErr w:type="spellEnd"/>
      <w:r w:rsidRPr="00E315D7">
        <w:rPr>
          <w:rFonts w:eastAsiaTheme="minorEastAsia" w:cs="Arial"/>
          <w:szCs w:val="21"/>
        </w:rPr>
        <w:t xml:space="preserve">, </w:t>
      </w:r>
      <w:proofErr w:type="spellStart"/>
      <w:r w:rsidRPr="00E315D7">
        <w:rPr>
          <w:rFonts w:eastAsiaTheme="minorEastAsia" w:cs="Arial"/>
          <w:szCs w:val="21"/>
        </w:rPr>
        <w:t>uplinkPowerSharing</w:t>
      </w:r>
      <w:proofErr w:type="spellEnd"/>
      <w:r w:rsidRPr="00E315D7">
        <w:rPr>
          <w:rFonts w:eastAsiaTheme="minorEastAsia" w:cs="Arial"/>
          <w:szCs w:val="21"/>
        </w:rPr>
        <w:t xml:space="preserve"> and Sync-DAPS. </w:t>
      </w:r>
    </w:p>
    <w:p w14:paraId="78FEFE2B" w14:textId="77777777" w:rsidR="00D35EEC" w:rsidRPr="00E315D7" w:rsidRDefault="00D35EEC" w:rsidP="00D35EEC">
      <w:pPr>
        <w:pStyle w:val="Agreement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eastAsiaTheme="minorEastAsia" w:cs="Arial"/>
          <w:szCs w:val="21"/>
        </w:rPr>
      </w:pPr>
      <w:r w:rsidRPr="00E315D7">
        <w:rPr>
          <w:rFonts w:eastAsiaTheme="minorEastAsia" w:cs="Arial"/>
          <w:szCs w:val="21"/>
        </w:rPr>
        <w:t xml:space="preserve">10: As agreed in RAN4, </w:t>
      </w:r>
      <w:proofErr w:type="spellStart"/>
      <w:r w:rsidRPr="00E315D7">
        <w:rPr>
          <w:rFonts w:eastAsiaTheme="minorEastAsia" w:cs="Arial"/>
          <w:szCs w:val="21"/>
        </w:rPr>
        <w:t>intraBandDiffSCS</w:t>
      </w:r>
      <w:proofErr w:type="spellEnd"/>
      <w:r w:rsidRPr="00E315D7">
        <w:rPr>
          <w:rFonts w:eastAsiaTheme="minorEastAsia" w:cs="Arial"/>
          <w:szCs w:val="21"/>
        </w:rPr>
        <w:t xml:space="preserve"> is different for intra/inter DAPS, i.e. separate capability. </w:t>
      </w:r>
    </w:p>
    <w:p w14:paraId="7EC40F70" w14:textId="42912556" w:rsidR="00D35EEC" w:rsidRDefault="00D35EEC" w:rsidP="00B53E25">
      <w:pPr>
        <w:pStyle w:val="BodyText"/>
        <w:rPr>
          <w:rFonts w:cs="Arial"/>
          <w:sz w:val="20"/>
          <w:szCs w:val="20"/>
          <w:highlight w:val="yellow"/>
        </w:rPr>
      </w:pPr>
    </w:p>
    <w:p w14:paraId="663FC729" w14:textId="4AE7D6DE" w:rsidR="002342D5" w:rsidRPr="00697BB4" w:rsidRDefault="007E0AA7" w:rsidP="007E0AA7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UE capabilities for the Rel-16 mobility enhancements features were then included in the CRs in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_Ref40774736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[1]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_Ref40774738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[2]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_Ref40774739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[3]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and </w:t>
      </w: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REF _Ref40774743 \r \h </w:instrTex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t>[4]</w:t>
      </w:r>
      <w:r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, which were submitted to the RAN2#109bis-e meeting. </w:t>
      </w:r>
      <w:r w:rsidR="00B512D1" w:rsidRPr="00B512D1">
        <w:rPr>
          <w:rFonts w:cs="Arial"/>
          <w:sz w:val="20"/>
          <w:szCs w:val="20"/>
        </w:rPr>
        <w:t xml:space="preserve">In this contribution the UE capabilities </w:t>
      </w:r>
      <w:r w:rsidR="00777F1D">
        <w:rPr>
          <w:rFonts w:cs="Arial"/>
          <w:sz w:val="20"/>
          <w:szCs w:val="20"/>
        </w:rPr>
        <w:t xml:space="preserve">for DAPS handover </w:t>
      </w:r>
      <w:r w:rsidR="00B512D1" w:rsidRPr="00B512D1">
        <w:rPr>
          <w:rFonts w:cs="Arial"/>
          <w:sz w:val="20"/>
          <w:szCs w:val="20"/>
        </w:rPr>
        <w:t>are discussed</w:t>
      </w:r>
      <w:r w:rsidR="00493396" w:rsidRPr="00B512D1">
        <w:rPr>
          <w:rFonts w:cs="Arial"/>
          <w:sz w:val="20"/>
          <w:szCs w:val="20"/>
        </w:rPr>
        <w:t>.</w:t>
      </w:r>
    </w:p>
    <w:p w14:paraId="506B277F" w14:textId="3890E458" w:rsidR="00B409E0" w:rsidRDefault="00230D18" w:rsidP="001D6D9E">
      <w:pPr>
        <w:pStyle w:val="Heading1"/>
      </w:pPr>
      <w:bookmarkStart w:id="1" w:name="_Ref178064866"/>
      <w:r>
        <w:lastRenderedPageBreak/>
        <w:t>2</w:t>
      </w:r>
      <w:r>
        <w:tab/>
      </w:r>
      <w:bookmarkEnd w:id="1"/>
      <w:r w:rsidR="00517536">
        <w:t>Discussion</w:t>
      </w:r>
    </w:p>
    <w:p w14:paraId="3B24E0AA" w14:textId="030F1A16" w:rsidR="007E0AA7" w:rsidRDefault="003540E8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Some (draft) </w:t>
      </w:r>
      <w:r w:rsidR="004C4E7A">
        <w:rPr>
          <w:rFonts w:cs="Arial"/>
          <w:sz w:val="20"/>
          <w:szCs w:val="20"/>
        </w:rPr>
        <w:t xml:space="preserve">CRs </w:t>
      </w:r>
      <w:r w:rsidR="00BA63D3">
        <w:rPr>
          <w:rFonts w:cs="Arial"/>
          <w:sz w:val="20"/>
          <w:szCs w:val="20"/>
        </w:rPr>
        <w:t>on</w:t>
      </w:r>
      <w:r w:rsidR="004C4E7A">
        <w:rPr>
          <w:rFonts w:cs="Arial"/>
          <w:sz w:val="20"/>
          <w:szCs w:val="20"/>
        </w:rPr>
        <w:t xml:space="preserve"> UE capabili</w:t>
      </w:r>
      <w:r w:rsidR="00BA63D3">
        <w:rPr>
          <w:rFonts w:cs="Arial"/>
          <w:sz w:val="20"/>
          <w:szCs w:val="20"/>
        </w:rPr>
        <w:t>t</w:t>
      </w:r>
      <w:r>
        <w:rPr>
          <w:rFonts w:cs="Arial"/>
          <w:sz w:val="20"/>
          <w:szCs w:val="20"/>
        </w:rPr>
        <w:t>ies</w:t>
      </w:r>
      <w:r w:rsidR="004C4E7A">
        <w:rPr>
          <w:rFonts w:cs="Arial"/>
          <w:sz w:val="20"/>
          <w:szCs w:val="20"/>
        </w:rPr>
        <w:t xml:space="preserve"> for </w:t>
      </w:r>
      <w:r w:rsidR="00BA63D3">
        <w:rPr>
          <w:rFonts w:cs="Arial"/>
          <w:sz w:val="20"/>
          <w:szCs w:val="20"/>
        </w:rPr>
        <w:t xml:space="preserve">Rel-16 </w:t>
      </w:r>
      <w:r w:rsidR="004C4E7A">
        <w:rPr>
          <w:rFonts w:cs="Arial"/>
          <w:sz w:val="20"/>
          <w:szCs w:val="20"/>
        </w:rPr>
        <w:t xml:space="preserve">mobility enhancements </w:t>
      </w:r>
      <w:r w:rsidR="007E0AA7">
        <w:rPr>
          <w:rFonts w:cs="Arial"/>
          <w:sz w:val="20"/>
          <w:szCs w:val="20"/>
        </w:rPr>
        <w:t xml:space="preserve">were </w:t>
      </w:r>
      <w:r w:rsidR="004C4E7A">
        <w:rPr>
          <w:rFonts w:cs="Arial"/>
          <w:sz w:val="20"/>
          <w:szCs w:val="20"/>
        </w:rPr>
        <w:t xml:space="preserve">submitted </w:t>
      </w:r>
      <w:r w:rsidR="00BA63D3">
        <w:rPr>
          <w:rFonts w:cs="Arial"/>
          <w:sz w:val="20"/>
          <w:szCs w:val="20"/>
        </w:rPr>
        <w:t xml:space="preserve">to the RAN2#109bis-e meeting </w:t>
      </w:r>
      <w:r w:rsidR="00B97CA3">
        <w:rPr>
          <w:rFonts w:cs="Arial"/>
          <w:sz w:val="20"/>
          <w:szCs w:val="20"/>
        </w:rPr>
        <w:t>(</w:t>
      </w:r>
      <w:r w:rsidR="003F7EC2">
        <w:rPr>
          <w:rFonts w:cs="Arial"/>
          <w:sz w:val="20"/>
          <w:szCs w:val="20"/>
        </w:rPr>
        <w:t xml:space="preserve">in </w:t>
      </w:r>
      <w:r w:rsidR="00B97CA3">
        <w:rPr>
          <w:rFonts w:cs="Arial"/>
          <w:sz w:val="20"/>
          <w:szCs w:val="20"/>
        </w:rPr>
        <w:fldChar w:fldCharType="begin"/>
      </w:r>
      <w:r w:rsidR="00B97CA3">
        <w:rPr>
          <w:rFonts w:cs="Arial"/>
          <w:sz w:val="20"/>
          <w:szCs w:val="20"/>
        </w:rPr>
        <w:instrText xml:space="preserve"> REF _Ref40774736 \r \h </w:instrText>
      </w:r>
      <w:r w:rsidR="00B97CA3">
        <w:rPr>
          <w:rFonts w:cs="Arial"/>
          <w:sz w:val="20"/>
          <w:szCs w:val="20"/>
        </w:rPr>
      </w:r>
      <w:r w:rsidR="00B97CA3">
        <w:rPr>
          <w:rFonts w:cs="Arial"/>
          <w:sz w:val="20"/>
          <w:szCs w:val="20"/>
        </w:rPr>
        <w:fldChar w:fldCharType="separate"/>
      </w:r>
      <w:r w:rsidR="007E0AA7">
        <w:rPr>
          <w:rFonts w:cs="Arial"/>
          <w:sz w:val="20"/>
          <w:szCs w:val="20"/>
        </w:rPr>
        <w:t>[1]</w:t>
      </w:r>
      <w:r w:rsidR="00B97CA3">
        <w:rPr>
          <w:rFonts w:cs="Arial"/>
          <w:sz w:val="20"/>
          <w:szCs w:val="20"/>
        </w:rPr>
        <w:fldChar w:fldCharType="end"/>
      </w:r>
      <w:r w:rsidR="00B97CA3">
        <w:rPr>
          <w:rFonts w:cs="Arial"/>
          <w:sz w:val="20"/>
          <w:szCs w:val="20"/>
        </w:rPr>
        <w:t xml:space="preserve">, </w:t>
      </w:r>
      <w:r w:rsidR="00B97CA3">
        <w:rPr>
          <w:rFonts w:cs="Arial"/>
          <w:sz w:val="20"/>
          <w:szCs w:val="20"/>
        </w:rPr>
        <w:fldChar w:fldCharType="begin"/>
      </w:r>
      <w:r w:rsidR="00B97CA3">
        <w:rPr>
          <w:rFonts w:cs="Arial"/>
          <w:sz w:val="20"/>
          <w:szCs w:val="20"/>
        </w:rPr>
        <w:instrText xml:space="preserve"> REF _Ref40774738 \r \h </w:instrText>
      </w:r>
      <w:r w:rsidR="00B97CA3">
        <w:rPr>
          <w:rFonts w:cs="Arial"/>
          <w:sz w:val="20"/>
          <w:szCs w:val="20"/>
        </w:rPr>
      </w:r>
      <w:r w:rsidR="00B97CA3">
        <w:rPr>
          <w:rFonts w:cs="Arial"/>
          <w:sz w:val="20"/>
          <w:szCs w:val="20"/>
        </w:rPr>
        <w:fldChar w:fldCharType="separate"/>
      </w:r>
      <w:r w:rsidR="007E0AA7">
        <w:rPr>
          <w:rFonts w:cs="Arial"/>
          <w:sz w:val="20"/>
          <w:szCs w:val="20"/>
        </w:rPr>
        <w:t>[2]</w:t>
      </w:r>
      <w:r w:rsidR="00B97CA3">
        <w:rPr>
          <w:rFonts w:cs="Arial"/>
          <w:sz w:val="20"/>
          <w:szCs w:val="20"/>
        </w:rPr>
        <w:fldChar w:fldCharType="end"/>
      </w:r>
      <w:r w:rsidR="00B97CA3">
        <w:rPr>
          <w:rFonts w:cs="Arial"/>
          <w:sz w:val="20"/>
          <w:szCs w:val="20"/>
        </w:rPr>
        <w:t xml:space="preserve">, </w:t>
      </w:r>
      <w:r w:rsidR="00B97CA3">
        <w:rPr>
          <w:rFonts w:cs="Arial"/>
          <w:sz w:val="20"/>
          <w:szCs w:val="20"/>
        </w:rPr>
        <w:fldChar w:fldCharType="begin"/>
      </w:r>
      <w:r w:rsidR="00B97CA3">
        <w:rPr>
          <w:rFonts w:cs="Arial"/>
          <w:sz w:val="20"/>
          <w:szCs w:val="20"/>
        </w:rPr>
        <w:instrText xml:space="preserve"> REF _Ref40774739 \r \h </w:instrText>
      </w:r>
      <w:r w:rsidR="00B97CA3">
        <w:rPr>
          <w:rFonts w:cs="Arial"/>
          <w:sz w:val="20"/>
          <w:szCs w:val="20"/>
        </w:rPr>
      </w:r>
      <w:r w:rsidR="00B97CA3">
        <w:rPr>
          <w:rFonts w:cs="Arial"/>
          <w:sz w:val="20"/>
          <w:szCs w:val="20"/>
        </w:rPr>
        <w:fldChar w:fldCharType="separate"/>
      </w:r>
      <w:r w:rsidR="007E0AA7">
        <w:rPr>
          <w:rFonts w:cs="Arial"/>
          <w:sz w:val="20"/>
          <w:szCs w:val="20"/>
        </w:rPr>
        <w:t>[3]</w:t>
      </w:r>
      <w:r w:rsidR="00B97CA3">
        <w:rPr>
          <w:rFonts w:cs="Arial"/>
          <w:sz w:val="20"/>
          <w:szCs w:val="20"/>
        </w:rPr>
        <w:fldChar w:fldCharType="end"/>
      </w:r>
      <w:r w:rsidR="00B97CA3">
        <w:rPr>
          <w:rFonts w:cs="Arial"/>
          <w:sz w:val="20"/>
          <w:szCs w:val="20"/>
        </w:rPr>
        <w:t xml:space="preserve"> and </w:t>
      </w:r>
      <w:r w:rsidR="00B97CA3">
        <w:rPr>
          <w:rFonts w:cs="Arial"/>
          <w:sz w:val="20"/>
          <w:szCs w:val="20"/>
        </w:rPr>
        <w:fldChar w:fldCharType="begin"/>
      </w:r>
      <w:r w:rsidR="00B97CA3">
        <w:rPr>
          <w:rFonts w:cs="Arial"/>
          <w:sz w:val="20"/>
          <w:szCs w:val="20"/>
        </w:rPr>
        <w:instrText xml:space="preserve"> REF _Ref40774743 \r \h </w:instrText>
      </w:r>
      <w:r w:rsidR="00B97CA3">
        <w:rPr>
          <w:rFonts w:cs="Arial"/>
          <w:sz w:val="20"/>
          <w:szCs w:val="20"/>
        </w:rPr>
      </w:r>
      <w:r w:rsidR="00B97CA3">
        <w:rPr>
          <w:rFonts w:cs="Arial"/>
          <w:sz w:val="20"/>
          <w:szCs w:val="20"/>
        </w:rPr>
        <w:fldChar w:fldCharType="separate"/>
      </w:r>
      <w:r w:rsidR="007E0AA7">
        <w:rPr>
          <w:rFonts w:cs="Arial"/>
          <w:sz w:val="20"/>
          <w:szCs w:val="20"/>
        </w:rPr>
        <w:t>[4]</w:t>
      </w:r>
      <w:r w:rsidR="00B97CA3">
        <w:rPr>
          <w:rFonts w:cs="Arial"/>
          <w:sz w:val="20"/>
          <w:szCs w:val="20"/>
        </w:rPr>
        <w:fldChar w:fldCharType="end"/>
      </w:r>
      <w:r w:rsidR="00B97CA3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 xml:space="preserve">. The </w:t>
      </w:r>
      <w:r w:rsidR="007E0AA7">
        <w:rPr>
          <w:rFonts w:cs="Arial"/>
          <w:sz w:val="20"/>
          <w:szCs w:val="20"/>
        </w:rPr>
        <w:t xml:space="preserve">following </w:t>
      </w:r>
      <w:r w:rsidR="00BA63D3">
        <w:rPr>
          <w:rFonts w:cs="Arial"/>
          <w:sz w:val="20"/>
          <w:szCs w:val="20"/>
        </w:rPr>
        <w:t xml:space="preserve">capabilities </w:t>
      </w:r>
      <w:r w:rsidR="003F7EC2">
        <w:rPr>
          <w:rFonts w:cs="Arial"/>
          <w:sz w:val="20"/>
          <w:szCs w:val="20"/>
        </w:rPr>
        <w:t xml:space="preserve">for DAPS handover </w:t>
      </w:r>
      <w:r w:rsidR="007E0AA7">
        <w:rPr>
          <w:rFonts w:cs="Arial"/>
          <w:sz w:val="20"/>
          <w:szCs w:val="20"/>
        </w:rPr>
        <w:t xml:space="preserve">were </w:t>
      </w:r>
      <w:r w:rsidR="003F7EC2">
        <w:rPr>
          <w:rFonts w:cs="Arial"/>
          <w:sz w:val="20"/>
          <w:szCs w:val="20"/>
        </w:rPr>
        <w:t>included</w:t>
      </w:r>
      <w:r>
        <w:rPr>
          <w:rFonts w:cs="Arial"/>
          <w:sz w:val="20"/>
          <w:szCs w:val="20"/>
        </w:rPr>
        <w:t xml:space="preserve"> in these</w:t>
      </w:r>
      <w:r w:rsidR="007E0AA7">
        <w:rPr>
          <w:rFonts w:cs="Arial"/>
          <w:sz w:val="20"/>
          <w:szCs w:val="20"/>
        </w:rPr>
        <w:t>:</w:t>
      </w:r>
    </w:p>
    <w:p w14:paraId="23DDE863" w14:textId="191E5B8E" w:rsidR="007E0AA7" w:rsidRPr="007E0AA7" w:rsidRDefault="007E0AA7" w:rsidP="007E0AA7">
      <w:pPr>
        <w:pStyle w:val="BodyText"/>
        <w:numPr>
          <w:ilvl w:val="0"/>
          <w:numId w:val="50"/>
        </w:numPr>
        <w:rPr>
          <w:rFonts w:cs="Arial"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intraFreqDiffSCS-DAPS-r16</w:t>
      </w:r>
      <w:r w:rsidR="005766F7">
        <w:rPr>
          <w:rFonts w:cs="Arial"/>
          <w:sz w:val="20"/>
          <w:szCs w:val="20"/>
        </w:rPr>
        <w:t xml:space="preserve"> (</w:t>
      </w:r>
      <w:r w:rsidR="0055192F">
        <w:rPr>
          <w:rFonts w:cs="Arial"/>
          <w:sz w:val="20"/>
          <w:szCs w:val="20"/>
        </w:rPr>
        <w:t xml:space="preserve">for </w:t>
      </w:r>
      <w:r w:rsidR="005766F7">
        <w:rPr>
          <w:rFonts w:cs="Arial"/>
          <w:sz w:val="20"/>
          <w:szCs w:val="20"/>
        </w:rPr>
        <w:t>NR only)</w:t>
      </w:r>
    </w:p>
    <w:p w14:paraId="1328ED51" w14:textId="67D8E1EC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intraFreqDAPS-r16</w:t>
      </w:r>
    </w:p>
    <w:p w14:paraId="2424FD9E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asyncDAPS-r16</w:t>
      </w:r>
    </w:p>
    <w:p w14:paraId="3A224AED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syncDAPS-r16</w:t>
      </w:r>
    </w:p>
    <w:p w14:paraId="50A1263C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interFreqDAPS-r16</w:t>
      </w:r>
    </w:p>
    <w:p w14:paraId="5144B838" w14:textId="652AB87E" w:rsidR="007E0AA7" w:rsidRPr="007E0AA7" w:rsidRDefault="007E0AA7" w:rsidP="007E0AA7">
      <w:pPr>
        <w:pStyle w:val="BodyText"/>
        <w:numPr>
          <w:ilvl w:val="0"/>
          <w:numId w:val="50"/>
        </w:numPr>
        <w:rPr>
          <w:rFonts w:cs="Arial"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interFreqDiffSCS-DAPS-r16</w:t>
      </w:r>
      <w:r w:rsidR="005766F7">
        <w:rPr>
          <w:rFonts w:cs="Arial"/>
          <w:sz w:val="20"/>
          <w:szCs w:val="20"/>
        </w:rPr>
        <w:t xml:space="preserve"> (</w:t>
      </w:r>
      <w:r w:rsidR="0055192F">
        <w:rPr>
          <w:rFonts w:cs="Arial"/>
          <w:sz w:val="20"/>
          <w:szCs w:val="20"/>
        </w:rPr>
        <w:t xml:space="preserve">for </w:t>
      </w:r>
      <w:r w:rsidR="005766F7">
        <w:rPr>
          <w:rFonts w:cs="Arial"/>
          <w:sz w:val="20"/>
          <w:szCs w:val="20"/>
        </w:rPr>
        <w:t>NR only)</w:t>
      </w:r>
    </w:p>
    <w:p w14:paraId="545C0FD0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singleUL-TransmissionDAPS-r16</w:t>
      </w:r>
    </w:p>
    <w:p w14:paraId="6AD785BD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multiUL-TransmissionDAPS-r16</w:t>
      </w:r>
    </w:p>
    <w:p w14:paraId="69328211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uplinkPowerSharingDAPS-r16</w:t>
      </w:r>
    </w:p>
    <w:p w14:paraId="51B4C148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pdcch-BlindDetectionSourceDAPS-r16</w:t>
      </w:r>
    </w:p>
    <w:p w14:paraId="1E67D1B5" w14:textId="77777777" w:rsidR="007E0AA7" w:rsidRPr="004D56C3" w:rsidRDefault="007E0AA7" w:rsidP="007E0AA7">
      <w:pPr>
        <w:pStyle w:val="BodyText"/>
        <w:numPr>
          <w:ilvl w:val="0"/>
          <w:numId w:val="50"/>
        </w:numPr>
        <w:rPr>
          <w:rFonts w:cs="Arial"/>
          <w:i/>
          <w:iCs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pdcch-BlindDetectionTargetDAPS-r16</w:t>
      </w:r>
    </w:p>
    <w:p w14:paraId="22B8A05B" w14:textId="0FE4CB79" w:rsidR="007E0AA7" w:rsidRDefault="007E0AA7" w:rsidP="007E0AA7">
      <w:pPr>
        <w:pStyle w:val="BodyText"/>
        <w:numPr>
          <w:ilvl w:val="0"/>
          <w:numId w:val="50"/>
        </w:numPr>
        <w:rPr>
          <w:rFonts w:cs="Arial"/>
          <w:sz w:val="20"/>
          <w:szCs w:val="20"/>
        </w:rPr>
      </w:pPr>
      <w:r w:rsidRPr="004D56C3">
        <w:rPr>
          <w:rFonts w:cs="Arial"/>
          <w:i/>
          <w:iCs/>
          <w:sz w:val="20"/>
          <w:szCs w:val="20"/>
        </w:rPr>
        <w:t>ul-TransCancellationDAPS-r16</w:t>
      </w:r>
    </w:p>
    <w:p w14:paraId="51E0F9E7" w14:textId="77777777" w:rsidR="0055192F" w:rsidRDefault="0055192F" w:rsidP="004D7A6A">
      <w:pPr>
        <w:pStyle w:val="BodyText"/>
        <w:rPr>
          <w:rFonts w:cs="Arial"/>
          <w:sz w:val="20"/>
          <w:szCs w:val="20"/>
        </w:rPr>
      </w:pPr>
    </w:p>
    <w:p w14:paraId="4ADDD869" w14:textId="5D401934" w:rsidR="00777F1D" w:rsidRDefault="0042167B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agreement</w:t>
      </w:r>
      <w:r w:rsidR="0055192F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at RAN2#109-e included a UE capability for “</w:t>
      </w:r>
      <w:proofErr w:type="spellStart"/>
      <w:r w:rsidRPr="0042167B">
        <w:rPr>
          <w:rFonts w:cs="Arial"/>
          <w:sz w:val="20"/>
          <w:szCs w:val="20"/>
        </w:rPr>
        <w:t>singleUL</w:t>
      </w:r>
      <w:proofErr w:type="spellEnd"/>
      <w:r w:rsidRPr="0042167B">
        <w:rPr>
          <w:rFonts w:cs="Arial"/>
          <w:sz w:val="20"/>
          <w:szCs w:val="20"/>
        </w:rPr>
        <w:t>-Transmission</w:t>
      </w:r>
      <w:r>
        <w:rPr>
          <w:rFonts w:cs="Arial"/>
          <w:sz w:val="20"/>
          <w:szCs w:val="20"/>
        </w:rPr>
        <w:t xml:space="preserve">”, which is </w:t>
      </w:r>
      <w:r w:rsidR="00233110">
        <w:rPr>
          <w:rFonts w:cs="Arial"/>
          <w:sz w:val="20"/>
          <w:szCs w:val="20"/>
        </w:rPr>
        <w:t xml:space="preserve">also </w:t>
      </w:r>
      <w:r>
        <w:rPr>
          <w:rFonts w:cs="Arial"/>
          <w:sz w:val="20"/>
          <w:szCs w:val="20"/>
        </w:rPr>
        <w:t xml:space="preserve">included </w:t>
      </w:r>
      <w:r w:rsidR="00233110">
        <w:rPr>
          <w:rFonts w:cs="Arial"/>
          <w:sz w:val="20"/>
          <w:szCs w:val="20"/>
        </w:rPr>
        <w:t xml:space="preserve">as </w:t>
      </w:r>
      <w:proofErr w:type="spellStart"/>
      <w:r w:rsidR="00233110" w:rsidRPr="004D56C3">
        <w:rPr>
          <w:rFonts w:cs="Arial"/>
          <w:i/>
          <w:iCs/>
          <w:sz w:val="20"/>
          <w:szCs w:val="20"/>
        </w:rPr>
        <w:t>singleUL-TransmissionDAPS</w:t>
      </w:r>
      <w:proofErr w:type="spellEnd"/>
      <w:r w:rsidR="0023311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in the above CRs.</w:t>
      </w:r>
      <w:r w:rsidR="00233110">
        <w:rPr>
          <w:rFonts w:cs="Arial"/>
          <w:sz w:val="20"/>
          <w:szCs w:val="20"/>
        </w:rPr>
        <w:t xml:space="preserve"> </w:t>
      </w:r>
      <w:r w:rsidR="00F33407">
        <w:rPr>
          <w:rFonts w:cs="Arial"/>
          <w:sz w:val="20"/>
          <w:szCs w:val="20"/>
        </w:rPr>
        <w:t xml:space="preserve">The agreement was based on input from RAN4, but the corresponding </w:t>
      </w:r>
      <w:r w:rsidR="0055192F">
        <w:rPr>
          <w:rFonts w:cs="Arial"/>
          <w:sz w:val="20"/>
          <w:szCs w:val="20"/>
        </w:rPr>
        <w:t xml:space="preserve">description </w:t>
      </w:r>
      <w:r w:rsidR="00F33407">
        <w:rPr>
          <w:rFonts w:cs="Arial"/>
          <w:sz w:val="20"/>
          <w:szCs w:val="20"/>
        </w:rPr>
        <w:t>in the LS from RAN4 (</w:t>
      </w:r>
      <w:r w:rsidR="00F33407">
        <w:rPr>
          <w:rFonts w:cs="Arial"/>
          <w:sz w:val="20"/>
          <w:szCs w:val="20"/>
        </w:rPr>
        <w:fldChar w:fldCharType="begin"/>
      </w:r>
      <w:r w:rsidR="00F33407">
        <w:rPr>
          <w:rFonts w:cs="Arial"/>
          <w:sz w:val="20"/>
          <w:szCs w:val="20"/>
        </w:rPr>
        <w:instrText xml:space="preserve"> REF _Ref40794150 \r \h </w:instrText>
      </w:r>
      <w:r w:rsidR="00F33407">
        <w:rPr>
          <w:rFonts w:cs="Arial"/>
          <w:sz w:val="20"/>
          <w:szCs w:val="20"/>
        </w:rPr>
      </w:r>
      <w:r w:rsidR="00F33407">
        <w:rPr>
          <w:rFonts w:cs="Arial"/>
          <w:sz w:val="20"/>
          <w:szCs w:val="20"/>
        </w:rPr>
        <w:fldChar w:fldCharType="separate"/>
      </w:r>
      <w:r w:rsidR="007E0AA7">
        <w:rPr>
          <w:rFonts w:cs="Arial"/>
          <w:sz w:val="20"/>
          <w:szCs w:val="20"/>
        </w:rPr>
        <w:t>[5]</w:t>
      </w:r>
      <w:r w:rsidR="00F33407">
        <w:rPr>
          <w:rFonts w:cs="Arial"/>
          <w:sz w:val="20"/>
          <w:szCs w:val="20"/>
        </w:rPr>
        <w:fldChar w:fldCharType="end"/>
      </w:r>
      <w:r w:rsidR="00F33407">
        <w:rPr>
          <w:rFonts w:cs="Arial"/>
          <w:sz w:val="20"/>
          <w:szCs w:val="20"/>
        </w:rPr>
        <w:t xml:space="preserve">) </w:t>
      </w:r>
      <w:r w:rsidR="0055192F">
        <w:rPr>
          <w:rFonts w:cs="Arial"/>
          <w:sz w:val="20"/>
          <w:szCs w:val="20"/>
        </w:rPr>
        <w:t xml:space="preserve">says </w:t>
      </w:r>
      <w:r w:rsidR="00F33407">
        <w:rPr>
          <w:rFonts w:cs="Arial"/>
          <w:sz w:val="20"/>
          <w:szCs w:val="20"/>
        </w:rPr>
        <w:t>“</w:t>
      </w:r>
      <w:r w:rsidR="00F33407" w:rsidRPr="00F33407">
        <w:rPr>
          <w:rFonts w:cs="Arial"/>
          <w:i/>
          <w:iCs/>
          <w:sz w:val="20"/>
          <w:szCs w:val="20"/>
        </w:rPr>
        <w:t>support of simultaneous UL transmission to source and target cell per band combination</w:t>
      </w:r>
      <w:r w:rsidR="00F33407">
        <w:rPr>
          <w:rFonts w:cs="Arial"/>
          <w:sz w:val="20"/>
          <w:szCs w:val="20"/>
        </w:rPr>
        <w:t xml:space="preserve">”. </w:t>
      </w:r>
      <w:r w:rsidR="00233110">
        <w:rPr>
          <w:rFonts w:cs="Arial"/>
          <w:sz w:val="20"/>
          <w:szCs w:val="20"/>
        </w:rPr>
        <w:t xml:space="preserve">The CRs also include a corresponding capability named </w:t>
      </w:r>
      <w:proofErr w:type="spellStart"/>
      <w:r w:rsidR="00233110" w:rsidRPr="004D56C3">
        <w:rPr>
          <w:rFonts w:cs="Arial"/>
          <w:i/>
          <w:iCs/>
          <w:sz w:val="20"/>
          <w:szCs w:val="20"/>
        </w:rPr>
        <w:t>multiUL-TransmissionDAPS</w:t>
      </w:r>
      <w:proofErr w:type="spellEnd"/>
      <w:r w:rsidR="00F33407">
        <w:rPr>
          <w:rFonts w:cs="Arial"/>
          <w:sz w:val="20"/>
          <w:szCs w:val="20"/>
        </w:rPr>
        <w:t xml:space="preserve">, which is a name that then better matches the capability mentioned by RAN4. </w:t>
      </w:r>
    </w:p>
    <w:p w14:paraId="2FC1C016" w14:textId="7DE0C8A8" w:rsidR="00FD16A6" w:rsidRDefault="00777F1D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</w:t>
      </w:r>
      <w:r w:rsidR="00F33407">
        <w:rPr>
          <w:rFonts w:cs="Arial"/>
          <w:sz w:val="20"/>
          <w:szCs w:val="20"/>
        </w:rPr>
        <w:t>upport for single UL transmission during the DAPS handover, i.e. in one cell at a time, is not an additional capability</w:t>
      </w:r>
      <w:r>
        <w:rPr>
          <w:rFonts w:cs="Arial"/>
          <w:sz w:val="20"/>
          <w:szCs w:val="20"/>
        </w:rPr>
        <w:t>.</w:t>
      </w:r>
      <w:r w:rsidR="00F3340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If such capability was included i</w:t>
      </w:r>
      <w:r w:rsidR="00F33407">
        <w:rPr>
          <w:rFonts w:cs="Arial"/>
          <w:sz w:val="20"/>
          <w:szCs w:val="20"/>
        </w:rPr>
        <w:t xml:space="preserve">t </w:t>
      </w:r>
      <w:r>
        <w:rPr>
          <w:rFonts w:cs="Arial"/>
          <w:sz w:val="20"/>
          <w:szCs w:val="20"/>
        </w:rPr>
        <w:t xml:space="preserve">would </w:t>
      </w:r>
      <w:r w:rsidR="00F33407">
        <w:rPr>
          <w:rFonts w:cs="Arial"/>
          <w:sz w:val="20"/>
          <w:szCs w:val="20"/>
        </w:rPr>
        <w:t xml:space="preserve">not </w:t>
      </w:r>
      <w:r>
        <w:rPr>
          <w:rFonts w:cs="Arial"/>
          <w:sz w:val="20"/>
          <w:szCs w:val="20"/>
        </w:rPr>
        <w:t xml:space="preserve">be </w:t>
      </w:r>
      <w:r w:rsidR="00F33407">
        <w:rPr>
          <w:rFonts w:cs="Arial"/>
          <w:sz w:val="20"/>
          <w:szCs w:val="20"/>
        </w:rPr>
        <w:t xml:space="preserve">clear how to treat </w:t>
      </w:r>
      <w:r w:rsidR="0055192F">
        <w:rPr>
          <w:rFonts w:cs="Arial"/>
          <w:sz w:val="20"/>
          <w:szCs w:val="20"/>
        </w:rPr>
        <w:t xml:space="preserve">the </w:t>
      </w:r>
      <w:r w:rsidR="00F33407">
        <w:rPr>
          <w:rFonts w:cs="Arial"/>
          <w:sz w:val="20"/>
          <w:szCs w:val="20"/>
        </w:rPr>
        <w:t xml:space="preserve">case where </w:t>
      </w:r>
      <w:r>
        <w:rPr>
          <w:rFonts w:cs="Arial"/>
          <w:sz w:val="20"/>
          <w:szCs w:val="20"/>
        </w:rPr>
        <w:t>it</w:t>
      </w:r>
      <w:r w:rsidR="00F33407">
        <w:rPr>
          <w:rFonts w:cs="Arial"/>
          <w:sz w:val="20"/>
          <w:szCs w:val="20"/>
        </w:rPr>
        <w:t xml:space="preserve"> is not set by the UE</w:t>
      </w:r>
      <w:r>
        <w:rPr>
          <w:rFonts w:cs="Arial"/>
          <w:sz w:val="20"/>
          <w:szCs w:val="20"/>
        </w:rPr>
        <w:t>. W</w:t>
      </w:r>
      <w:r w:rsidR="00F33407">
        <w:rPr>
          <w:rFonts w:cs="Arial"/>
          <w:sz w:val="20"/>
          <w:szCs w:val="20"/>
        </w:rPr>
        <w:t xml:space="preserve">ould it </w:t>
      </w:r>
      <w:r>
        <w:rPr>
          <w:rFonts w:cs="Arial"/>
          <w:sz w:val="20"/>
          <w:szCs w:val="20"/>
        </w:rPr>
        <w:t xml:space="preserve">then </w:t>
      </w:r>
      <w:r w:rsidR="00F33407">
        <w:rPr>
          <w:rFonts w:cs="Arial"/>
          <w:sz w:val="20"/>
          <w:szCs w:val="20"/>
        </w:rPr>
        <w:t xml:space="preserve">mean that the UE always </w:t>
      </w:r>
      <w:proofErr w:type="gramStart"/>
      <w:r w:rsidR="00F33407">
        <w:rPr>
          <w:rFonts w:cs="Arial"/>
          <w:sz w:val="20"/>
          <w:szCs w:val="20"/>
        </w:rPr>
        <w:t>has to</w:t>
      </w:r>
      <w:proofErr w:type="gramEnd"/>
      <w:r w:rsidR="00F33407">
        <w:rPr>
          <w:rFonts w:cs="Arial"/>
          <w:sz w:val="20"/>
          <w:szCs w:val="20"/>
        </w:rPr>
        <w:t xml:space="preserve"> be scheduled for </w:t>
      </w:r>
      <w:r>
        <w:rPr>
          <w:rFonts w:cs="Arial"/>
          <w:sz w:val="20"/>
          <w:szCs w:val="20"/>
        </w:rPr>
        <w:t xml:space="preserve">simultaneous </w:t>
      </w:r>
      <w:r w:rsidR="00F33407">
        <w:rPr>
          <w:rFonts w:cs="Arial"/>
          <w:sz w:val="20"/>
          <w:szCs w:val="20"/>
        </w:rPr>
        <w:t>transmission</w:t>
      </w:r>
      <w:r>
        <w:rPr>
          <w:rFonts w:cs="Arial"/>
          <w:sz w:val="20"/>
          <w:szCs w:val="20"/>
        </w:rPr>
        <w:t>s</w:t>
      </w:r>
      <w:r w:rsidR="00F33407">
        <w:rPr>
          <w:rFonts w:cs="Arial"/>
          <w:sz w:val="20"/>
          <w:szCs w:val="20"/>
        </w:rPr>
        <w:t xml:space="preserve"> in both cells</w:t>
      </w:r>
      <w:r>
        <w:rPr>
          <w:rFonts w:cs="Arial"/>
          <w:sz w:val="20"/>
          <w:szCs w:val="20"/>
        </w:rPr>
        <w:t xml:space="preserve"> during the DAPS handover</w:t>
      </w:r>
      <w:r w:rsidR="00F33407">
        <w:rPr>
          <w:rFonts w:cs="Arial"/>
          <w:sz w:val="20"/>
          <w:szCs w:val="20"/>
        </w:rPr>
        <w:t>?</w:t>
      </w:r>
      <w:r>
        <w:rPr>
          <w:rFonts w:cs="Arial"/>
          <w:sz w:val="20"/>
          <w:szCs w:val="20"/>
        </w:rPr>
        <w:t xml:space="preserve"> </w:t>
      </w:r>
      <w:r w:rsidR="008707EF">
        <w:rPr>
          <w:rFonts w:cs="Arial"/>
          <w:sz w:val="20"/>
          <w:szCs w:val="20"/>
        </w:rPr>
        <w:t xml:space="preserve">It </w:t>
      </w:r>
      <w:r w:rsidR="0055192F">
        <w:rPr>
          <w:rFonts w:cs="Arial"/>
          <w:sz w:val="20"/>
          <w:szCs w:val="20"/>
        </w:rPr>
        <w:t xml:space="preserve">thus </w:t>
      </w:r>
      <w:r w:rsidR="008707EF">
        <w:rPr>
          <w:rFonts w:cs="Arial"/>
          <w:sz w:val="20"/>
          <w:szCs w:val="20"/>
        </w:rPr>
        <w:t xml:space="preserve">seems to us that the </w:t>
      </w:r>
      <w:proofErr w:type="spellStart"/>
      <w:r w:rsidR="008707EF" w:rsidRPr="008707EF">
        <w:rPr>
          <w:rFonts w:cs="Arial"/>
          <w:i/>
          <w:iCs/>
          <w:sz w:val="20"/>
          <w:szCs w:val="20"/>
        </w:rPr>
        <w:t>singleUL-TransmissionDAPS</w:t>
      </w:r>
      <w:proofErr w:type="spellEnd"/>
      <w:r w:rsidR="008707EF">
        <w:rPr>
          <w:rFonts w:cs="Arial"/>
          <w:sz w:val="20"/>
          <w:szCs w:val="20"/>
        </w:rPr>
        <w:t xml:space="preserve"> capability is instead an "in-capability bit" which indicates the opposite of the capability bit </w:t>
      </w:r>
      <w:proofErr w:type="spellStart"/>
      <w:r w:rsidR="008707EF" w:rsidRPr="004D56C3">
        <w:rPr>
          <w:rFonts w:cs="Arial"/>
          <w:i/>
          <w:iCs/>
          <w:sz w:val="20"/>
          <w:szCs w:val="20"/>
        </w:rPr>
        <w:t>multiUL-TransmissionDAPS</w:t>
      </w:r>
      <w:proofErr w:type="spellEnd"/>
      <w:r w:rsidR="008707EF">
        <w:rPr>
          <w:rFonts w:cs="Arial"/>
          <w:sz w:val="20"/>
          <w:szCs w:val="20"/>
        </w:rPr>
        <w:t xml:space="preserve">. In-capability bits should be avoided and in this this case we assume that absence of </w:t>
      </w:r>
      <w:proofErr w:type="spellStart"/>
      <w:r w:rsidR="008707EF" w:rsidRPr="004D56C3">
        <w:rPr>
          <w:rFonts w:cs="Arial"/>
          <w:i/>
          <w:iCs/>
          <w:sz w:val="20"/>
          <w:szCs w:val="20"/>
        </w:rPr>
        <w:t>multiUL-TransmissionDAPS</w:t>
      </w:r>
      <w:proofErr w:type="spellEnd"/>
      <w:r w:rsidR="008707EF">
        <w:rPr>
          <w:rFonts w:cs="Arial"/>
          <w:sz w:val="20"/>
          <w:szCs w:val="20"/>
        </w:rPr>
        <w:t xml:space="preserve"> means that the UE is only capable of a single UL transmission at a time. </w:t>
      </w:r>
      <w:r>
        <w:rPr>
          <w:rFonts w:cs="Arial"/>
          <w:sz w:val="20"/>
          <w:szCs w:val="20"/>
        </w:rPr>
        <w:t xml:space="preserve">The </w:t>
      </w:r>
      <w:proofErr w:type="spellStart"/>
      <w:r w:rsidRPr="00777F1D">
        <w:rPr>
          <w:rFonts w:cs="Arial"/>
          <w:sz w:val="20"/>
          <w:szCs w:val="20"/>
        </w:rPr>
        <w:t>singleUL-TransmissionDAPS</w:t>
      </w:r>
      <w:proofErr w:type="spellEnd"/>
      <w:r>
        <w:rPr>
          <w:rFonts w:cs="Arial"/>
          <w:sz w:val="20"/>
          <w:szCs w:val="20"/>
        </w:rPr>
        <w:t xml:space="preserve"> capability should therefore not be included.</w:t>
      </w:r>
    </w:p>
    <w:p w14:paraId="1FD94990" w14:textId="7AA349F5" w:rsidR="00FD16A6" w:rsidRDefault="00FD16A6" w:rsidP="00FD16A6">
      <w:pPr>
        <w:pStyle w:val="Proposal"/>
      </w:pPr>
      <w:bookmarkStart w:id="2" w:name="_Toc40913808"/>
      <w:r>
        <w:t xml:space="preserve">There should not be any </w:t>
      </w:r>
      <w:r w:rsidRPr="0034507D">
        <w:t>“</w:t>
      </w:r>
      <w:proofErr w:type="spellStart"/>
      <w:r w:rsidRPr="0034507D">
        <w:t>singleUL</w:t>
      </w:r>
      <w:proofErr w:type="spellEnd"/>
      <w:r w:rsidRPr="0034507D">
        <w:t>-Transmission”</w:t>
      </w:r>
      <w:r>
        <w:t xml:space="preserve"> capability indicating that the UE supports transmission in a single cell at a time.</w:t>
      </w:r>
      <w:bookmarkEnd w:id="2"/>
    </w:p>
    <w:p w14:paraId="41CAB2ED" w14:textId="762CCD02" w:rsidR="00B23F38" w:rsidRDefault="00B23F38" w:rsidP="004D7A6A">
      <w:pPr>
        <w:pStyle w:val="BodyText"/>
        <w:rPr>
          <w:rFonts w:cs="Arial"/>
          <w:sz w:val="20"/>
          <w:szCs w:val="20"/>
        </w:rPr>
      </w:pPr>
    </w:p>
    <w:p w14:paraId="19013FB7" w14:textId="310E8B2D" w:rsidR="004D56C3" w:rsidRPr="002F4F79" w:rsidRDefault="00B23F38" w:rsidP="004D7A6A">
      <w:pPr>
        <w:pStyle w:val="BodyTex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In 38.213 RAN1 has specified the different uplink power sharing modes to be used by the UE at a DAPS handover, where the mode to use is configured by the network through </w:t>
      </w:r>
      <w:proofErr w:type="spellStart"/>
      <w:r w:rsidRPr="00B23F38">
        <w:rPr>
          <w:rFonts w:cs="Arial"/>
          <w:i/>
          <w:iCs/>
          <w:sz w:val="20"/>
          <w:szCs w:val="20"/>
        </w:rPr>
        <w:t>uplinkPowerSharingDAPS</w:t>
      </w:r>
      <w:proofErr w:type="spellEnd"/>
      <w:r w:rsidRPr="00B23F38">
        <w:rPr>
          <w:rFonts w:cs="Arial"/>
          <w:i/>
          <w:iCs/>
          <w:sz w:val="20"/>
          <w:szCs w:val="20"/>
        </w:rPr>
        <w:t>-Mode</w:t>
      </w:r>
      <w:r>
        <w:rPr>
          <w:rFonts w:cs="Arial"/>
          <w:sz w:val="20"/>
          <w:szCs w:val="20"/>
        </w:rPr>
        <w:t xml:space="preserve">. This configuration is in turn based on the modes that </w:t>
      </w:r>
      <w:r w:rsidR="004D56C3">
        <w:rPr>
          <w:rFonts w:cs="Arial"/>
          <w:sz w:val="20"/>
          <w:szCs w:val="20"/>
        </w:rPr>
        <w:t xml:space="preserve">the UE has indicated that it </w:t>
      </w:r>
      <w:r>
        <w:rPr>
          <w:rFonts w:cs="Arial"/>
          <w:sz w:val="20"/>
          <w:szCs w:val="20"/>
        </w:rPr>
        <w:t>support</w:t>
      </w:r>
      <w:r w:rsidR="004D56C3">
        <w:rPr>
          <w:rFonts w:cs="Arial"/>
          <w:sz w:val="20"/>
          <w:szCs w:val="20"/>
        </w:rPr>
        <w:t>s</w:t>
      </w:r>
      <w:r>
        <w:rPr>
          <w:rFonts w:cs="Arial"/>
          <w:sz w:val="20"/>
          <w:szCs w:val="20"/>
        </w:rPr>
        <w:t xml:space="preserve"> </w:t>
      </w:r>
      <w:r w:rsidR="004D56C3">
        <w:rPr>
          <w:rFonts w:cs="Arial"/>
          <w:sz w:val="20"/>
          <w:szCs w:val="20"/>
        </w:rPr>
        <w:t xml:space="preserve">according to the capability </w:t>
      </w:r>
      <w:proofErr w:type="spellStart"/>
      <w:r w:rsidR="004D56C3" w:rsidRPr="004D56C3">
        <w:rPr>
          <w:rFonts w:cs="Arial"/>
          <w:i/>
          <w:iCs/>
          <w:sz w:val="20"/>
          <w:szCs w:val="20"/>
        </w:rPr>
        <w:t>uplinkPowerSharingDAPS</w:t>
      </w:r>
      <w:proofErr w:type="spellEnd"/>
      <w:r>
        <w:rPr>
          <w:rFonts w:cs="Arial"/>
          <w:sz w:val="20"/>
          <w:szCs w:val="20"/>
        </w:rPr>
        <w:t>.</w:t>
      </w:r>
      <w:r w:rsidR="004D56C3">
        <w:rPr>
          <w:rFonts w:cs="Arial"/>
          <w:sz w:val="20"/>
          <w:szCs w:val="20"/>
        </w:rPr>
        <w:t xml:space="preserve"> In 38.213 it is also specified that if the UE has not provided the uplink power sharing mode capability (i.e. </w:t>
      </w:r>
      <w:proofErr w:type="spellStart"/>
      <w:r w:rsidR="004D56C3" w:rsidRPr="004D56C3">
        <w:rPr>
          <w:rFonts w:cs="Arial"/>
          <w:i/>
          <w:iCs/>
          <w:sz w:val="20"/>
          <w:szCs w:val="20"/>
        </w:rPr>
        <w:t>uplinkPowerSharingDAPS</w:t>
      </w:r>
      <w:proofErr w:type="spellEnd"/>
      <w:r w:rsidR="004D56C3">
        <w:rPr>
          <w:rFonts w:cs="Arial"/>
          <w:sz w:val="20"/>
          <w:szCs w:val="20"/>
        </w:rPr>
        <w:t xml:space="preserve">) and the </w:t>
      </w:r>
      <w:r w:rsidR="004D56C3" w:rsidRPr="004D56C3">
        <w:rPr>
          <w:rFonts w:cs="Arial"/>
          <w:sz w:val="20"/>
          <w:szCs w:val="20"/>
        </w:rPr>
        <w:t xml:space="preserve">UE transmissions on the target cell and the source cell </w:t>
      </w:r>
      <w:r w:rsidR="004D56C3">
        <w:rPr>
          <w:rFonts w:cs="Arial"/>
          <w:sz w:val="20"/>
          <w:szCs w:val="20"/>
        </w:rPr>
        <w:t xml:space="preserve">overlap, the </w:t>
      </w:r>
      <w:r w:rsidR="004D56C3" w:rsidRPr="004D56C3">
        <w:rPr>
          <w:rFonts w:cs="Arial"/>
          <w:sz w:val="20"/>
          <w:szCs w:val="20"/>
        </w:rPr>
        <w:t>UE transmits only on the target cell</w:t>
      </w:r>
      <w:r w:rsidR="004D56C3">
        <w:rPr>
          <w:rFonts w:cs="Arial"/>
          <w:sz w:val="20"/>
          <w:szCs w:val="20"/>
        </w:rPr>
        <w:t xml:space="preserve">. There will thus not be any simultaneous UL transmissions if the UE does not have (any) </w:t>
      </w:r>
      <w:proofErr w:type="spellStart"/>
      <w:r w:rsidR="004D56C3" w:rsidRPr="004D56C3">
        <w:rPr>
          <w:rFonts w:cs="Arial"/>
          <w:i/>
          <w:iCs/>
          <w:sz w:val="20"/>
          <w:szCs w:val="20"/>
        </w:rPr>
        <w:t>uplinkPowerSharingDAPS</w:t>
      </w:r>
      <w:proofErr w:type="spellEnd"/>
      <w:r w:rsidR="004D56C3">
        <w:rPr>
          <w:rFonts w:cs="Arial"/>
          <w:sz w:val="20"/>
          <w:szCs w:val="20"/>
        </w:rPr>
        <w:t xml:space="preserve"> capability. The </w:t>
      </w:r>
      <w:proofErr w:type="spellStart"/>
      <w:r w:rsidR="004D56C3" w:rsidRPr="004D56C3">
        <w:rPr>
          <w:rFonts w:cs="Arial"/>
          <w:i/>
          <w:iCs/>
          <w:sz w:val="20"/>
          <w:szCs w:val="20"/>
        </w:rPr>
        <w:t>multiUL-TransmissionDAPS</w:t>
      </w:r>
      <w:proofErr w:type="spellEnd"/>
      <w:r w:rsidR="004D56C3">
        <w:rPr>
          <w:rFonts w:cs="Arial"/>
          <w:sz w:val="20"/>
          <w:szCs w:val="20"/>
        </w:rPr>
        <w:t xml:space="preserve"> and </w:t>
      </w:r>
      <w:proofErr w:type="spellStart"/>
      <w:r w:rsidR="004D56C3" w:rsidRPr="004D56C3">
        <w:rPr>
          <w:rFonts w:cs="Arial"/>
          <w:i/>
          <w:iCs/>
          <w:sz w:val="20"/>
          <w:szCs w:val="20"/>
        </w:rPr>
        <w:t>uplinkPowerSharingDAPS</w:t>
      </w:r>
      <w:proofErr w:type="spellEnd"/>
      <w:r w:rsidR="004D56C3">
        <w:rPr>
          <w:rFonts w:cs="Arial"/>
          <w:sz w:val="20"/>
          <w:szCs w:val="20"/>
        </w:rPr>
        <w:t xml:space="preserve"> capabilities can thus be combined into a single capability.</w:t>
      </w:r>
      <w:r w:rsidR="00C70DE7">
        <w:rPr>
          <w:rFonts w:cs="Arial"/>
          <w:sz w:val="20"/>
          <w:szCs w:val="20"/>
        </w:rPr>
        <w:t xml:space="preserve"> In case the </w:t>
      </w:r>
      <w:proofErr w:type="spellStart"/>
      <w:r w:rsidR="00C70DE7" w:rsidRPr="004D56C3">
        <w:rPr>
          <w:rFonts w:cs="Arial"/>
          <w:i/>
          <w:iCs/>
          <w:sz w:val="20"/>
          <w:szCs w:val="20"/>
        </w:rPr>
        <w:t>uplinkPowerSharingDAPS</w:t>
      </w:r>
      <w:proofErr w:type="spellEnd"/>
      <w:r w:rsidR="00C70DE7">
        <w:rPr>
          <w:rFonts w:cs="Arial"/>
          <w:sz w:val="20"/>
          <w:szCs w:val="20"/>
        </w:rPr>
        <w:t xml:space="preserve"> capability includes information about supported </w:t>
      </w:r>
      <w:r w:rsidR="002F4F79">
        <w:rPr>
          <w:rFonts w:cs="Arial"/>
          <w:sz w:val="20"/>
          <w:szCs w:val="20"/>
        </w:rPr>
        <w:t xml:space="preserve">modes, as in </w:t>
      </w:r>
      <w:r w:rsidR="002F4F79">
        <w:rPr>
          <w:rFonts w:cs="Arial"/>
          <w:sz w:val="20"/>
          <w:szCs w:val="20"/>
        </w:rPr>
        <w:fldChar w:fldCharType="begin"/>
      </w:r>
      <w:r w:rsidR="002F4F79">
        <w:rPr>
          <w:rFonts w:cs="Arial"/>
          <w:sz w:val="20"/>
          <w:szCs w:val="20"/>
        </w:rPr>
        <w:instrText xml:space="preserve"> REF _Ref40774738 \r \h </w:instrText>
      </w:r>
      <w:r w:rsidR="002F4F79">
        <w:rPr>
          <w:rFonts w:cs="Arial"/>
          <w:sz w:val="20"/>
          <w:szCs w:val="20"/>
        </w:rPr>
      </w:r>
      <w:r w:rsidR="002F4F79">
        <w:rPr>
          <w:rFonts w:cs="Arial"/>
          <w:sz w:val="20"/>
          <w:szCs w:val="20"/>
        </w:rPr>
        <w:fldChar w:fldCharType="separate"/>
      </w:r>
      <w:r w:rsidR="002F4F79">
        <w:rPr>
          <w:rFonts w:cs="Arial"/>
          <w:sz w:val="20"/>
          <w:szCs w:val="20"/>
        </w:rPr>
        <w:t>[2]</w:t>
      </w:r>
      <w:r w:rsidR="002F4F79">
        <w:rPr>
          <w:rFonts w:cs="Arial"/>
          <w:sz w:val="20"/>
          <w:szCs w:val="20"/>
        </w:rPr>
        <w:fldChar w:fldCharType="end"/>
      </w:r>
      <w:r w:rsidR="002F4F79">
        <w:rPr>
          <w:rFonts w:cs="Arial"/>
          <w:sz w:val="20"/>
          <w:szCs w:val="20"/>
        </w:rPr>
        <w:t xml:space="preserve">, the most suitable is then to skip </w:t>
      </w:r>
      <w:proofErr w:type="spellStart"/>
      <w:r w:rsidR="002F4F79" w:rsidRPr="004D56C3">
        <w:rPr>
          <w:rFonts w:cs="Arial"/>
          <w:i/>
          <w:iCs/>
          <w:sz w:val="20"/>
          <w:szCs w:val="20"/>
        </w:rPr>
        <w:t>multiUL-TransmissionDAPS</w:t>
      </w:r>
      <w:proofErr w:type="spellEnd"/>
      <w:r w:rsidR="002F4F79">
        <w:rPr>
          <w:rFonts w:cs="Arial"/>
          <w:sz w:val="20"/>
          <w:szCs w:val="20"/>
        </w:rPr>
        <w:t xml:space="preserve"> and let the </w:t>
      </w:r>
      <w:proofErr w:type="spellStart"/>
      <w:r w:rsidR="002F4F79" w:rsidRPr="00807774">
        <w:rPr>
          <w:i/>
          <w:iCs/>
        </w:rPr>
        <w:t>uplinkPowerSharingDAPS</w:t>
      </w:r>
      <w:proofErr w:type="spellEnd"/>
      <w:r w:rsidR="002F4F79">
        <w:t xml:space="preserve"> capability also indicate support for simultaneous UL transmissions.</w:t>
      </w:r>
    </w:p>
    <w:p w14:paraId="0C3B3C14" w14:textId="5A8062CE" w:rsidR="00807774" w:rsidRPr="0022720B" w:rsidRDefault="002F4F79" w:rsidP="00807774">
      <w:pPr>
        <w:pStyle w:val="Proposal"/>
      </w:pPr>
      <w:bookmarkStart w:id="3" w:name="_Toc40913809"/>
      <w:r>
        <w:t xml:space="preserve">Both </w:t>
      </w:r>
      <w:r w:rsidR="00807774">
        <w:t>support for simultaneous UL transmissions and support for UL power sharing should be included in a single UE capability</w:t>
      </w:r>
      <w:r>
        <w:t xml:space="preserve"> </w:t>
      </w:r>
      <w:r>
        <w:lastRenderedPageBreak/>
        <w:t>(</w:t>
      </w:r>
      <w:proofErr w:type="spellStart"/>
      <w:r w:rsidRPr="00807774">
        <w:rPr>
          <w:i/>
          <w:iCs/>
        </w:rPr>
        <w:t>uplinkPowerSharingDAPS</w:t>
      </w:r>
      <w:proofErr w:type="spellEnd"/>
      <w:r>
        <w:t xml:space="preserve">). The </w:t>
      </w:r>
      <w:proofErr w:type="spellStart"/>
      <w:r w:rsidRPr="00807774">
        <w:rPr>
          <w:i/>
          <w:iCs/>
        </w:rPr>
        <w:t>multiUL-TransmissionDAPS</w:t>
      </w:r>
      <w:proofErr w:type="spellEnd"/>
      <w:r>
        <w:t xml:space="preserve"> capability is then not needed.</w:t>
      </w:r>
      <w:bookmarkEnd w:id="3"/>
    </w:p>
    <w:p w14:paraId="2479F5FC" w14:textId="77777777" w:rsidR="00777F1D" w:rsidRDefault="00777F1D" w:rsidP="004D7A6A">
      <w:pPr>
        <w:pStyle w:val="BodyText"/>
        <w:rPr>
          <w:rFonts w:cs="Arial"/>
          <w:sz w:val="20"/>
          <w:szCs w:val="20"/>
        </w:rPr>
      </w:pPr>
    </w:p>
    <w:p w14:paraId="0AAA0D86" w14:textId="2F89D138" w:rsidR="003540E8" w:rsidRPr="00A523DD" w:rsidRDefault="00A523DD" w:rsidP="00BA63D3">
      <w:pPr>
        <w:pStyle w:val="BodyText"/>
        <w:rPr>
          <w:rFonts w:cs="Arial"/>
          <w:sz w:val="20"/>
          <w:szCs w:val="20"/>
        </w:rPr>
      </w:pPr>
      <w:r w:rsidRPr="00A523DD">
        <w:rPr>
          <w:rFonts w:cs="Arial"/>
          <w:sz w:val="20"/>
          <w:szCs w:val="20"/>
        </w:rPr>
        <w:t>A UE that indicates a capability for DAPS handover (intra- and/or inter-frequency) supports simultaneous reception of transmissions from the source and the target cell.</w:t>
      </w:r>
      <w:r>
        <w:rPr>
          <w:rFonts w:cs="Arial"/>
          <w:sz w:val="20"/>
          <w:szCs w:val="20"/>
        </w:rPr>
        <w:t xml:space="preserve"> The </w:t>
      </w:r>
      <w:proofErr w:type="spellStart"/>
      <w:r w:rsidRPr="00A523DD">
        <w:rPr>
          <w:rFonts w:cs="Arial"/>
          <w:i/>
          <w:iCs/>
          <w:sz w:val="20"/>
          <w:szCs w:val="20"/>
        </w:rPr>
        <w:t>asyncDAPS</w:t>
      </w:r>
      <w:proofErr w:type="spellEnd"/>
      <w:r>
        <w:rPr>
          <w:rFonts w:cs="Arial"/>
          <w:sz w:val="20"/>
          <w:szCs w:val="20"/>
        </w:rPr>
        <w:t xml:space="preserve"> capability then additionally indicates whether the UE supports the case that the two cells are not synchronised. It </w:t>
      </w:r>
      <w:r w:rsidR="002F4F79">
        <w:rPr>
          <w:rFonts w:cs="Arial"/>
          <w:sz w:val="20"/>
          <w:szCs w:val="20"/>
        </w:rPr>
        <w:t>can</w:t>
      </w:r>
      <w:r>
        <w:rPr>
          <w:rFonts w:cs="Arial"/>
          <w:sz w:val="20"/>
          <w:szCs w:val="20"/>
        </w:rPr>
        <w:t xml:space="preserve"> however be assumed that the UE would support the specific case where the two cells are </w:t>
      </w:r>
      <w:proofErr w:type="gramStart"/>
      <w:r>
        <w:rPr>
          <w:rFonts w:cs="Arial"/>
          <w:sz w:val="20"/>
          <w:szCs w:val="20"/>
        </w:rPr>
        <w:t>synchronised</w:t>
      </w:r>
      <w:proofErr w:type="gramEnd"/>
      <w:r w:rsidR="007614FA">
        <w:rPr>
          <w:rFonts w:cs="Arial"/>
          <w:sz w:val="20"/>
          <w:szCs w:val="20"/>
        </w:rPr>
        <w:t xml:space="preserve"> and no such UE capability </w:t>
      </w:r>
      <w:r>
        <w:rPr>
          <w:rFonts w:cs="Arial"/>
          <w:sz w:val="20"/>
          <w:szCs w:val="20"/>
        </w:rPr>
        <w:t>should therefore be needed.</w:t>
      </w:r>
    </w:p>
    <w:p w14:paraId="36B42BA8" w14:textId="6E7B04C8" w:rsidR="00B30DDD" w:rsidRPr="007614FA" w:rsidRDefault="002F4F79" w:rsidP="006A1589">
      <w:pPr>
        <w:pStyle w:val="Proposal"/>
      </w:pPr>
      <w:bookmarkStart w:id="4" w:name="_Toc40913810"/>
      <w:r>
        <w:t xml:space="preserve">All UEs supporting DAPS support synchronous DAPS handover, and no explicit </w:t>
      </w:r>
      <w:r w:rsidR="00B30DDD" w:rsidRPr="007614FA">
        <w:t xml:space="preserve">capability </w:t>
      </w:r>
      <w:r>
        <w:t xml:space="preserve">bit </w:t>
      </w:r>
      <w:r w:rsidR="007614FA" w:rsidRPr="007614FA">
        <w:t xml:space="preserve">is needed </w:t>
      </w:r>
      <w:r w:rsidR="00B30DDD" w:rsidRPr="007614FA">
        <w:t xml:space="preserve">for </w:t>
      </w:r>
      <w:r>
        <w:t>this.</w:t>
      </w:r>
      <w:bookmarkEnd w:id="4"/>
      <w:r w:rsidRPr="007614FA">
        <w:t xml:space="preserve"> </w:t>
      </w:r>
    </w:p>
    <w:p w14:paraId="0D1F0B43" w14:textId="77777777" w:rsidR="00B30DDD" w:rsidRPr="00993A41" w:rsidRDefault="00B30DDD" w:rsidP="00517536">
      <w:pPr>
        <w:rPr>
          <w:rFonts w:ascii="Arial" w:hAnsi="Arial" w:cs="Arial"/>
          <w:sz w:val="20"/>
          <w:szCs w:val="20"/>
          <w:lang w:eastAsia="ja-JP"/>
        </w:rPr>
      </w:pPr>
    </w:p>
    <w:p w14:paraId="434F993A" w14:textId="53D34D20" w:rsidR="006E1C82" w:rsidRPr="00466E62" w:rsidRDefault="00EF3121" w:rsidP="00466E62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FB629CC" w14:textId="32B4C66D" w:rsidR="006E1C82" w:rsidRPr="00993A41" w:rsidRDefault="008E065E" w:rsidP="006E1C82">
      <w:pPr>
        <w:pStyle w:val="BodyText"/>
        <w:rPr>
          <w:sz w:val="20"/>
          <w:szCs w:val="20"/>
        </w:rPr>
      </w:pPr>
      <w:r w:rsidRPr="00993A41">
        <w:rPr>
          <w:sz w:val="20"/>
          <w:szCs w:val="20"/>
        </w:rPr>
        <w:t xml:space="preserve">Based on the discussion in </w:t>
      </w:r>
      <w:r w:rsidR="007729A2" w:rsidRPr="00993A41">
        <w:rPr>
          <w:sz w:val="20"/>
          <w:szCs w:val="20"/>
        </w:rPr>
        <w:t xml:space="preserve">the previous </w:t>
      </w:r>
      <w:r w:rsidRPr="00993A41">
        <w:rPr>
          <w:sz w:val="20"/>
          <w:szCs w:val="20"/>
        </w:rPr>
        <w:t>section</w:t>
      </w:r>
      <w:r w:rsidR="007729A2" w:rsidRPr="00993A41">
        <w:rPr>
          <w:sz w:val="20"/>
          <w:szCs w:val="20"/>
        </w:rPr>
        <w:t>s</w:t>
      </w:r>
      <w:r w:rsidRPr="00993A41">
        <w:rPr>
          <w:sz w:val="20"/>
          <w:szCs w:val="20"/>
        </w:rPr>
        <w:t xml:space="preserve"> we propose the following:</w:t>
      </w:r>
    </w:p>
    <w:p w14:paraId="4C695BD4" w14:textId="77777777" w:rsidR="00D1648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7D3277">
        <w:rPr>
          <w:b w:val="0"/>
          <w:bCs/>
          <w:sz w:val="20"/>
          <w:szCs w:val="20"/>
        </w:rPr>
        <w:fldChar w:fldCharType="begin"/>
      </w:r>
      <w:r w:rsidRPr="007D3277">
        <w:rPr>
          <w:b w:val="0"/>
          <w:bCs/>
          <w:sz w:val="20"/>
          <w:szCs w:val="20"/>
        </w:rPr>
        <w:instrText xml:space="preserve"> TOC \n \h \z \t "Proposal" \c </w:instrText>
      </w:r>
      <w:r w:rsidRPr="007D3277">
        <w:rPr>
          <w:b w:val="0"/>
          <w:bCs/>
          <w:sz w:val="20"/>
          <w:szCs w:val="20"/>
        </w:rPr>
        <w:fldChar w:fldCharType="separate"/>
      </w:r>
      <w:hyperlink w:anchor="_Toc40913808" w:history="1">
        <w:r w:rsidR="00D16481" w:rsidRPr="000014F1">
          <w:rPr>
            <w:rStyle w:val="Hyperlink"/>
            <w:noProof/>
          </w:rPr>
          <w:t>Proposal 1</w:t>
        </w:r>
        <w:r w:rsidR="00D16481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16481" w:rsidRPr="000014F1">
          <w:rPr>
            <w:rStyle w:val="Hyperlink"/>
            <w:noProof/>
          </w:rPr>
          <w:t>There should not be any “singleUL-Transmission” capability indicating that the UE supports transmission in a single cell at a time.</w:t>
        </w:r>
      </w:hyperlink>
    </w:p>
    <w:p w14:paraId="00F4B368" w14:textId="77777777" w:rsidR="00D16481" w:rsidRDefault="00D164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40913809" w:history="1">
        <w:r w:rsidRPr="000014F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014F1">
          <w:rPr>
            <w:rStyle w:val="Hyperlink"/>
            <w:noProof/>
          </w:rPr>
          <w:t>Both support for simultaneous UL transmissions and support for UL power sharing should be included in a single UE capability (</w:t>
        </w:r>
        <w:r w:rsidRPr="000014F1">
          <w:rPr>
            <w:rStyle w:val="Hyperlink"/>
            <w:i/>
            <w:iCs/>
            <w:noProof/>
          </w:rPr>
          <w:t>uplinkPowerSharingDAPS</w:t>
        </w:r>
        <w:r w:rsidRPr="000014F1">
          <w:rPr>
            <w:rStyle w:val="Hyperlink"/>
            <w:noProof/>
          </w:rPr>
          <w:t xml:space="preserve">). The </w:t>
        </w:r>
        <w:r w:rsidRPr="000014F1">
          <w:rPr>
            <w:rStyle w:val="Hyperlink"/>
            <w:i/>
            <w:iCs/>
            <w:noProof/>
          </w:rPr>
          <w:t>multiUL-TransmissionDAPS</w:t>
        </w:r>
        <w:r w:rsidRPr="000014F1">
          <w:rPr>
            <w:rStyle w:val="Hyperlink"/>
            <w:noProof/>
          </w:rPr>
          <w:t xml:space="preserve"> capability is then not needed.</w:t>
        </w:r>
      </w:hyperlink>
    </w:p>
    <w:p w14:paraId="469349AA" w14:textId="77777777" w:rsidR="00D16481" w:rsidRDefault="00D1648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40913810" w:history="1">
        <w:r w:rsidRPr="000014F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Pr="000014F1">
          <w:rPr>
            <w:rStyle w:val="Hyperlink"/>
            <w:noProof/>
          </w:rPr>
          <w:t>All UEs supporting DAPS support synchronous DAPS handover, and no explicit capability bit is needed for this.</w:t>
        </w:r>
      </w:hyperlink>
    </w:p>
    <w:p w14:paraId="29068CE8" w14:textId="03180AF7" w:rsidR="000866AE" w:rsidRPr="002564CF" w:rsidRDefault="006E1C82" w:rsidP="002564CF">
      <w:pPr>
        <w:pStyle w:val="BodyText"/>
        <w:rPr>
          <w:b/>
          <w:bCs/>
          <w:sz w:val="20"/>
          <w:szCs w:val="20"/>
        </w:rPr>
      </w:pPr>
      <w:r w:rsidRPr="007D3277">
        <w:rPr>
          <w:b/>
          <w:bCs/>
          <w:sz w:val="20"/>
          <w:szCs w:val="20"/>
        </w:rPr>
        <w:fldChar w:fldCharType="end"/>
      </w:r>
      <w:bookmarkStart w:id="5" w:name="_In-sequence_SDU_delivery"/>
      <w:bookmarkEnd w:id="5"/>
    </w:p>
    <w:p w14:paraId="7B5860DE" w14:textId="77777777" w:rsidR="000866AE" w:rsidRPr="00CE0424" w:rsidRDefault="000866AE" w:rsidP="000866AE">
      <w:pPr>
        <w:pStyle w:val="Heading1"/>
      </w:pPr>
      <w:r>
        <w:t>5</w:t>
      </w:r>
      <w:r>
        <w:tab/>
      </w:r>
      <w:r w:rsidRPr="00CE0424">
        <w:t>References</w:t>
      </w:r>
    </w:p>
    <w:p w14:paraId="45C4DB96" w14:textId="54807E88" w:rsidR="00541D15" w:rsidRPr="00541D15" w:rsidRDefault="00541D15" w:rsidP="00541D15">
      <w:pPr>
        <w:pStyle w:val="Reference"/>
      </w:pPr>
      <w:bookmarkStart w:id="6" w:name="_Ref40774736"/>
      <w:bookmarkStart w:id="7" w:name="_Ref23928369"/>
      <w:bookmarkStart w:id="8" w:name="_Ref31814780"/>
      <w:r w:rsidRPr="00541D15">
        <w:t xml:space="preserve">R2-2003368, </w:t>
      </w:r>
      <w:proofErr w:type="spellStart"/>
      <w:r w:rsidRPr="00541D15">
        <w:t>draftCR</w:t>
      </w:r>
      <w:proofErr w:type="spellEnd"/>
      <w:r w:rsidRPr="00541D15">
        <w:t xml:space="preserve"> TS 38.306 v16.0.0, UE Capability for Rel-16 NR mobility enhancement, 3GPP TSG-RAN WG2 #109b electronic, 20</w:t>
      </w:r>
      <w:r w:rsidRPr="00541D15">
        <w:rPr>
          <w:vertAlign w:val="superscript"/>
        </w:rPr>
        <w:t>th</w:t>
      </w:r>
      <w:r w:rsidRPr="00541D15">
        <w:t xml:space="preserve"> – 30</w:t>
      </w:r>
      <w:r w:rsidRPr="00541D15">
        <w:rPr>
          <w:vertAlign w:val="superscript"/>
        </w:rPr>
        <w:t>th</w:t>
      </w:r>
      <w:r w:rsidRPr="00541D15">
        <w:t xml:space="preserve"> April 2020</w:t>
      </w:r>
      <w:bookmarkEnd w:id="6"/>
    </w:p>
    <w:p w14:paraId="1DF032C2" w14:textId="3CE44496" w:rsidR="00541D15" w:rsidRPr="00541D15" w:rsidRDefault="00541D15" w:rsidP="00541D15">
      <w:pPr>
        <w:pStyle w:val="Reference"/>
      </w:pPr>
      <w:bookmarkStart w:id="9" w:name="_Ref40774738"/>
      <w:r w:rsidRPr="00541D15">
        <w:t xml:space="preserve">R2-2003369, </w:t>
      </w:r>
      <w:proofErr w:type="spellStart"/>
      <w:r w:rsidRPr="00541D15">
        <w:t>draftCR</w:t>
      </w:r>
      <w:proofErr w:type="spellEnd"/>
      <w:r w:rsidRPr="00541D15">
        <w:t xml:space="preserve"> TS 38.331 v16.0.0, UE Capability for Rel-16 NR mobility enhancement, 3GPP TSG-RAN WG2 #109b electronic, 20</w:t>
      </w:r>
      <w:r w:rsidRPr="00541D15">
        <w:rPr>
          <w:vertAlign w:val="superscript"/>
        </w:rPr>
        <w:t>th</w:t>
      </w:r>
      <w:r w:rsidRPr="00541D15">
        <w:t xml:space="preserve"> – 30</w:t>
      </w:r>
      <w:r w:rsidRPr="00541D15">
        <w:rPr>
          <w:vertAlign w:val="superscript"/>
        </w:rPr>
        <w:t>th</w:t>
      </w:r>
      <w:r w:rsidRPr="00541D15">
        <w:t xml:space="preserve"> April 2020</w:t>
      </w:r>
      <w:bookmarkEnd w:id="9"/>
    </w:p>
    <w:p w14:paraId="62032AC1" w14:textId="42692459" w:rsidR="00CA03AA" w:rsidRDefault="00541D15" w:rsidP="00084BE2">
      <w:pPr>
        <w:pStyle w:val="Reference"/>
      </w:pPr>
      <w:bookmarkStart w:id="10" w:name="_Ref40774739"/>
      <w:r>
        <w:t>R2-2003263</w:t>
      </w:r>
      <w:r w:rsidR="00CA03AA">
        <w:t xml:space="preserve">, CR 1751 TS 36.306 v16.0.0, UE Capability for Rel-16 LTE even further mobility enhancement, </w:t>
      </w:r>
      <w:r w:rsidR="00CA03AA" w:rsidRPr="009A7D69">
        <w:t>3GPP TSG-RAN WG2 #109b electronic, 20</w:t>
      </w:r>
      <w:r w:rsidR="00CA03AA" w:rsidRPr="009A7D69">
        <w:rPr>
          <w:vertAlign w:val="superscript"/>
        </w:rPr>
        <w:t>th</w:t>
      </w:r>
      <w:r w:rsidR="00CA03AA" w:rsidRPr="009A7D69">
        <w:t xml:space="preserve"> – 30</w:t>
      </w:r>
      <w:r w:rsidR="00CA03AA" w:rsidRPr="009A7D69">
        <w:rPr>
          <w:vertAlign w:val="superscript"/>
        </w:rPr>
        <w:t>th</w:t>
      </w:r>
      <w:r w:rsidR="00CA03AA" w:rsidRPr="009A7D69">
        <w:t xml:space="preserve"> April 2020</w:t>
      </w:r>
      <w:bookmarkEnd w:id="10"/>
    </w:p>
    <w:p w14:paraId="671000A9" w14:textId="584E7238" w:rsidR="00CA03AA" w:rsidRDefault="00541D15" w:rsidP="00541D15">
      <w:pPr>
        <w:pStyle w:val="Reference"/>
      </w:pPr>
      <w:bookmarkStart w:id="11" w:name="_Ref40774743"/>
      <w:r>
        <w:t>R2-2003370</w:t>
      </w:r>
      <w:r w:rsidR="00CA03AA">
        <w:t xml:space="preserve">, </w:t>
      </w:r>
      <w:proofErr w:type="spellStart"/>
      <w:r>
        <w:t>draftCR</w:t>
      </w:r>
      <w:proofErr w:type="spellEnd"/>
      <w:r>
        <w:t xml:space="preserve"> TS 36.331 v16.0.0, UE Capability for Rel-16 LTE even further mobility enhancement</w:t>
      </w:r>
      <w:r w:rsidR="00CA03AA">
        <w:t xml:space="preserve">, </w:t>
      </w:r>
      <w:r w:rsidR="00CA03AA" w:rsidRPr="009A7D69">
        <w:t>3GPP TSG-RAN WG2 #109b electronic, 20</w:t>
      </w:r>
      <w:r w:rsidR="00CA03AA" w:rsidRPr="009A7D69">
        <w:rPr>
          <w:vertAlign w:val="superscript"/>
        </w:rPr>
        <w:t>th</w:t>
      </w:r>
      <w:r w:rsidR="00CA03AA" w:rsidRPr="009A7D69">
        <w:t xml:space="preserve"> – 30</w:t>
      </w:r>
      <w:r w:rsidR="00CA03AA" w:rsidRPr="009A7D69">
        <w:rPr>
          <w:vertAlign w:val="superscript"/>
        </w:rPr>
        <w:t>th</w:t>
      </w:r>
      <w:r w:rsidR="00CA03AA" w:rsidRPr="009A7D69">
        <w:t xml:space="preserve"> April 2020</w:t>
      </w:r>
      <w:bookmarkEnd w:id="11"/>
    </w:p>
    <w:p w14:paraId="5480BC56" w14:textId="66335E2B" w:rsidR="00233110" w:rsidRPr="009A7D69" w:rsidRDefault="00233110" w:rsidP="00541D15">
      <w:pPr>
        <w:pStyle w:val="Reference"/>
      </w:pPr>
      <w:bookmarkStart w:id="12" w:name="_Ref40794150"/>
      <w:r w:rsidRPr="00233110">
        <w:t>R4-1915781</w:t>
      </w:r>
      <w:r>
        <w:t xml:space="preserve"> (</w:t>
      </w:r>
      <w:r w:rsidRPr="00233110">
        <w:t>R2-2000037</w:t>
      </w:r>
      <w:r>
        <w:t xml:space="preserve">), </w:t>
      </w:r>
      <w:r w:rsidRPr="00233110">
        <w:t>Reply to LS on UE capabilities on DAPS HO</w:t>
      </w:r>
      <w:r>
        <w:t>,</w:t>
      </w:r>
      <w:r w:rsidRPr="00233110">
        <w:t xml:space="preserve"> </w:t>
      </w:r>
      <w:r>
        <w:t xml:space="preserve">LS from RAN4 to RAN2 (CC RAN1), </w:t>
      </w:r>
      <w:r w:rsidRPr="00233110">
        <w:t>3GPP TSG RAN WG4 Meeting #93</w:t>
      </w:r>
      <w:r>
        <w:t xml:space="preserve">, </w:t>
      </w:r>
      <w:r w:rsidRPr="00233110">
        <w:t xml:space="preserve">Reno, USA, 18 – 22 </w:t>
      </w:r>
      <w:proofErr w:type="gramStart"/>
      <w:r w:rsidRPr="00233110">
        <w:t>November,</w:t>
      </w:r>
      <w:proofErr w:type="gramEnd"/>
      <w:r w:rsidRPr="00233110">
        <w:t xml:space="preserve"> 2019</w:t>
      </w:r>
      <w:bookmarkEnd w:id="12"/>
    </w:p>
    <w:p w14:paraId="51EE6C8B" w14:textId="1CF34DB9" w:rsidR="00531465" w:rsidRPr="002564CF" w:rsidRDefault="00531465" w:rsidP="002564CF">
      <w:pPr>
        <w:spacing w:after="0" w:line="240" w:lineRule="auto"/>
        <w:rPr>
          <w:rFonts w:ascii="Arial" w:hAnsi="Arial"/>
          <w:sz w:val="20"/>
          <w:szCs w:val="20"/>
          <w:lang w:eastAsia="zh-CN"/>
        </w:rPr>
      </w:pPr>
      <w:bookmarkStart w:id="13" w:name="_GoBack"/>
      <w:bookmarkEnd w:id="7"/>
      <w:bookmarkEnd w:id="8"/>
      <w:bookmarkEnd w:id="13"/>
    </w:p>
    <w:sectPr w:rsidR="00531465" w:rsidRPr="002564CF" w:rsidSect="00F0420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BC094" w14:textId="77777777" w:rsidR="00FE32B3" w:rsidRDefault="00FE32B3">
      <w:r>
        <w:separator/>
      </w:r>
    </w:p>
  </w:endnote>
  <w:endnote w:type="continuationSeparator" w:id="0">
    <w:p w14:paraId="56990A23" w14:textId="77777777" w:rsidR="00FE32B3" w:rsidRDefault="00FE32B3">
      <w:r>
        <w:continuationSeparator/>
      </w:r>
    </w:p>
  </w:endnote>
  <w:endnote w:type="continuationNotice" w:id="1">
    <w:p w14:paraId="1128C740" w14:textId="77777777" w:rsidR="00FE32B3" w:rsidRDefault="00FE32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9F56F" w14:textId="77777777" w:rsidR="00070603" w:rsidRDefault="0007060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78C25" w14:textId="77777777" w:rsidR="00FE32B3" w:rsidRDefault="00FE32B3">
      <w:r>
        <w:separator/>
      </w:r>
    </w:p>
  </w:footnote>
  <w:footnote w:type="continuationSeparator" w:id="0">
    <w:p w14:paraId="7E261480" w14:textId="77777777" w:rsidR="00FE32B3" w:rsidRDefault="00FE32B3">
      <w:r>
        <w:continuationSeparator/>
      </w:r>
    </w:p>
  </w:footnote>
  <w:footnote w:type="continuationNotice" w:id="1">
    <w:p w14:paraId="5133B6B0" w14:textId="77777777" w:rsidR="00FE32B3" w:rsidRDefault="00FE32B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5283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78C4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D732C"/>
    <w:multiLevelType w:val="hybridMultilevel"/>
    <w:tmpl w:val="41D62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3C1E2D"/>
    <w:multiLevelType w:val="hybridMultilevel"/>
    <w:tmpl w:val="D6E4A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3917"/>
    <w:multiLevelType w:val="hybridMultilevel"/>
    <w:tmpl w:val="E6607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26B56"/>
    <w:multiLevelType w:val="hybridMultilevel"/>
    <w:tmpl w:val="23B2A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06DFB"/>
    <w:multiLevelType w:val="hybridMultilevel"/>
    <w:tmpl w:val="F9B88AF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063AE"/>
    <w:multiLevelType w:val="hybridMultilevel"/>
    <w:tmpl w:val="C58642A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6A0793A"/>
    <w:multiLevelType w:val="hybridMultilevel"/>
    <w:tmpl w:val="1EBC5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01BE8"/>
    <w:multiLevelType w:val="hybridMultilevel"/>
    <w:tmpl w:val="0F7A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725F93"/>
    <w:multiLevelType w:val="hybridMultilevel"/>
    <w:tmpl w:val="268C2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5114E"/>
    <w:multiLevelType w:val="hybridMultilevel"/>
    <w:tmpl w:val="303E0978"/>
    <w:lvl w:ilvl="0" w:tplc="0E8E9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74C2B"/>
    <w:multiLevelType w:val="hybridMultilevel"/>
    <w:tmpl w:val="C5B43F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6FC1B8B"/>
    <w:multiLevelType w:val="hybridMultilevel"/>
    <w:tmpl w:val="CCA45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93342E"/>
    <w:multiLevelType w:val="hybridMultilevel"/>
    <w:tmpl w:val="294E0D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E212A"/>
    <w:multiLevelType w:val="hybridMultilevel"/>
    <w:tmpl w:val="E06E6FF4"/>
    <w:lvl w:ilvl="0" w:tplc="44DE7BE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868C1E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2536CCF2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EAA2E2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5B80A6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CEDA34C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7CC8781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76646D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FB7E9AB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35FA5"/>
    <w:multiLevelType w:val="hybridMultilevel"/>
    <w:tmpl w:val="1A88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3623CE"/>
    <w:multiLevelType w:val="hybridMultilevel"/>
    <w:tmpl w:val="BA6C3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790798"/>
    <w:multiLevelType w:val="hybridMultilevel"/>
    <w:tmpl w:val="1EC23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8C274C"/>
    <w:multiLevelType w:val="hybridMultilevel"/>
    <w:tmpl w:val="825A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271370A"/>
    <w:multiLevelType w:val="hybridMultilevel"/>
    <w:tmpl w:val="74263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8373B8"/>
    <w:multiLevelType w:val="hybridMultilevel"/>
    <w:tmpl w:val="CFFEBB6E"/>
    <w:lvl w:ilvl="0" w:tplc="0E8E9D5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A608F8"/>
    <w:multiLevelType w:val="hybridMultilevel"/>
    <w:tmpl w:val="08841B08"/>
    <w:lvl w:ilvl="0" w:tplc="0CCAEA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051CC4"/>
    <w:multiLevelType w:val="hybridMultilevel"/>
    <w:tmpl w:val="69682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5636DA"/>
    <w:multiLevelType w:val="hybridMultilevel"/>
    <w:tmpl w:val="1F904EB6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7" w15:restartNumberingAfterBreak="0">
    <w:nsid w:val="7C912853"/>
    <w:multiLevelType w:val="hybridMultilevel"/>
    <w:tmpl w:val="83189E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9D60FF"/>
    <w:multiLevelType w:val="hybridMultilevel"/>
    <w:tmpl w:val="D1E845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2A328A"/>
    <w:multiLevelType w:val="hybridMultilevel"/>
    <w:tmpl w:val="40A42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5"/>
  </w:num>
  <w:num w:numId="8">
    <w:abstractNumId w:val="21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3"/>
  </w:num>
  <w:num w:numId="15">
    <w:abstractNumId w:val="26"/>
  </w:num>
  <w:num w:numId="16">
    <w:abstractNumId w:val="36"/>
  </w:num>
  <w:num w:numId="17">
    <w:abstractNumId w:val="7"/>
  </w:num>
  <w:num w:numId="18">
    <w:abstractNumId w:val="14"/>
  </w:num>
  <w:num w:numId="19">
    <w:abstractNumId w:val="5"/>
  </w:num>
  <w:num w:numId="20">
    <w:abstractNumId w:val="42"/>
  </w:num>
  <w:num w:numId="21">
    <w:abstractNumId w:val="22"/>
  </w:num>
  <w:num w:numId="22">
    <w:abstractNumId w:val="38"/>
  </w:num>
  <w:num w:numId="23">
    <w:abstractNumId w:val="48"/>
  </w:num>
  <w:num w:numId="24">
    <w:abstractNumId w:val="10"/>
  </w:num>
  <w:num w:numId="25">
    <w:abstractNumId w:val="37"/>
  </w:num>
  <w:num w:numId="26">
    <w:abstractNumId w:val="39"/>
  </w:num>
  <w:num w:numId="27">
    <w:abstractNumId w:val="45"/>
  </w:num>
  <w:num w:numId="28">
    <w:abstractNumId w:val="34"/>
  </w:num>
  <w:num w:numId="29">
    <w:abstractNumId w:val="15"/>
  </w:num>
  <w:num w:numId="30">
    <w:abstractNumId w:val="6"/>
  </w:num>
  <w:num w:numId="31">
    <w:abstractNumId w:val="9"/>
  </w:num>
  <w:num w:numId="32">
    <w:abstractNumId w:val="20"/>
  </w:num>
  <w:num w:numId="33">
    <w:abstractNumId w:val="8"/>
  </w:num>
  <w:num w:numId="34">
    <w:abstractNumId w:val="29"/>
  </w:num>
  <w:num w:numId="35">
    <w:abstractNumId w:val="12"/>
  </w:num>
  <w:num w:numId="36">
    <w:abstractNumId w:val="13"/>
  </w:num>
  <w:num w:numId="37">
    <w:abstractNumId w:val="40"/>
  </w:num>
  <w:num w:numId="38">
    <w:abstractNumId w:val="23"/>
  </w:num>
  <w:num w:numId="39">
    <w:abstractNumId w:val="44"/>
  </w:num>
  <w:num w:numId="40">
    <w:abstractNumId w:val="32"/>
  </w:num>
  <w:num w:numId="41">
    <w:abstractNumId w:val="11"/>
  </w:num>
  <w:num w:numId="42">
    <w:abstractNumId w:val="17"/>
  </w:num>
  <w:num w:numId="43">
    <w:abstractNumId w:val="30"/>
  </w:num>
  <w:num w:numId="44">
    <w:abstractNumId w:val="46"/>
  </w:num>
  <w:num w:numId="45">
    <w:abstractNumId w:val="4"/>
  </w:num>
  <w:num w:numId="46">
    <w:abstractNumId w:val="43"/>
  </w:num>
  <w:num w:numId="47">
    <w:abstractNumId w:val="47"/>
  </w:num>
  <w:num w:numId="48">
    <w:abstractNumId w:val="18"/>
  </w:num>
  <w:num w:numId="49">
    <w:abstractNumId w:val="41"/>
  </w:num>
  <w:num w:numId="50">
    <w:abstractNumId w:val="4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5BA"/>
    <w:rsid w:val="00042D9D"/>
    <w:rsid w:val="00042F22"/>
    <w:rsid w:val="000444EF"/>
    <w:rsid w:val="0005212D"/>
    <w:rsid w:val="00052A07"/>
    <w:rsid w:val="000534E3"/>
    <w:rsid w:val="00053DE0"/>
    <w:rsid w:val="00054D0D"/>
    <w:rsid w:val="0005606A"/>
    <w:rsid w:val="00057117"/>
    <w:rsid w:val="000616E7"/>
    <w:rsid w:val="0006487E"/>
    <w:rsid w:val="00065E1A"/>
    <w:rsid w:val="00070603"/>
    <w:rsid w:val="00071AE2"/>
    <w:rsid w:val="000733E3"/>
    <w:rsid w:val="00077E5F"/>
    <w:rsid w:val="0008036A"/>
    <w:rsid w:val="00081AE6"/>
    <w:rsid w:val="00083B58"/>
    <w:rsid w:val="00084BE2"/>
    <w:rsid w:val="0008535A"/>
    <w:rsid w:val="000855EB"/>
    <w:rsid w:val="00085B52"/>
    <w:rsid w:val="000866AE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A1118"/>
    <w:rsid w:val="000A1B7B"/>
    <w:rsid w:val="000A215D"/>
    <w:rsid w:val="000A56F2"/>
    <w:rsid w:val="000B2719"/>
    <w:rsid w:val="000B3A8F"/>
    <w:rsid w:val="000B4AB9"/>
    <w:rsid w:val="000B58C3"/>
    <w:rsid w:val="000B61E9"/>
    <w:rsid w:val="000C0AD4"/>
    <w:rsid w:val="000C0FA2"/>
    <w:rsid w:val="000C165A"/>
    <w:rsid w:val="000C2622"/>
    <w:rsid w:val="000C2E19"/>
    <w:rsid w:val="000C3D04"/>
    <w:rsid w:val="000D0D07"/>
    <w:rsid w:val="000D4797"/>
    <w:rsid w:val="000E0527"/>
    <w:rsid w:val="000E1E92"/>
    <w:rsid w:val="000E6D73"/>
    <w:rsid w:val="000E6EB9"/>
    <w:rsid w:val="000F04D1"/>
    <w:rsid w:val="000F06D6"/>
    <w:rsid w:val="000F0EB1"/>
    <w:rsid w:val="000F1106"/>
    <w:rsid w:val="000F3BE9"/>
    <w:rsid w:val="000F3F6C"/>
    <w:rsid w:val="000F6DF3"/>
    <w:rsid w:val="000F6F1A"/>
    <w:rsid w:val="001005FF"/>
    <w:rsid w:val="001062FB"/>
    <w:rsid w:val="001063E6"/>
    <w:rsid w:val="00113CF4"/>
    <w:rsid w:val="001153EA"/>
    <w:rsid w:val="00115643"/>
    <w:rsid w:val="00116765"/>
    <w:rsid w:val="00121570"/>
    <w:rsid w:val="001219F5"/>
    <w:rsid w:val="00121A20"/>
    <w:rsid w:val="0012377F"/>
    <w:rsid w:val="00124314"/>
    <w:rsid w:val="00125EB1"/>
    <w:rsid w:val="00126758"/>
    <w:rsid w:val="00126B4A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F0A"/>
    <w:rsid w:val="001471C6"/>
    <w:rsid w:val="001518E5"/>
    <w:rsid w:val="00151E23"/>
    <w:rsid w:val="001526E0"/>
    <w:rsid w:val="001551B5"/>
    <w:rsid w:val="001606AE"/>
    <w:rsid w:val="001659C1"/>
    <w:rsid w:val="00170D84"/>
    <w:rsid w:val="0017293D"/>
    <w:rsid w:val="00173A8E"/>
    <w:rsid w:val="0017502C"/>
    <w:rsid w:val="0017772D"/>
    <w:rsid w:val="0018143F"/>
    <w:rsid w:val="00181FF8"/>
    <w:rsid w:val="00190AC1"/>
    <w:rsid w:val="001926E3"/>
    <w:rsid w:val="0019341A"/>
    <w:rsid w:val="00197DF9"/>
    <w:rsid w:val="001A1987"/>
    <w:rsid w:val="001A2564"/>
    <w:rsid w:val="001A585A"/>
    <w:rsid w:val="001A6173"/>
    <w:rsid w:val="001A6CBA"/>
    <w:rsid w:val="001B0D97"/>
    <w:rsid w:val="001B2241"/>
    <w:rsid w:val="001B2EB0"/>
    <w:rsid w:val="001B39B6"/>
    <w:rsid w:val="001B5A5D"/>
    <w:rsid w:val="001C1CE5"/>
    <w:rsid w:val="001C26DB"/>
    <w:rsid w:val="001C3D2A"/>
    <w:rsid w:val="001C4C91"/>
    <w:rsid w:val="001D3195"/>
    <w:rsid w:val="001D43A7"/>
    <w:rsid w:val="001D51BA"/>
    <w:rsid w:val="001D53E7"/>
    <w:rsid w:val="001D6342"/>
    <w:rsid w:val="001D6D53"/>
    <w:rsid w:val="001D6D9E"/>
    <w:rsid w:val="001E2EDA"/>
    <w:rsid w:val="001E3E85"/>
    <w:rsid w:val="001E58E2"/>
    <w:rsid w:val="001E6BF6"/>
    <w:rsid w:val="001E7AED"/>
    <w:rsid w:val="001F3916"/>
    <w:rsid w:val="001F43CD"/>
    <w:rsid w:val="001F54C5"/>
    <w:rsid w:val="001F642C"/>
    <w:rsid w:val="001F662C"/>
    <w:rsid w:val="001F7074"/>
    <w:rsid w:val="001F78AE"/>
    <w:rsid w:val="00200490"/>
    <w:rsid w:val="00201F3A"/>
    <w:rsid w:val="00202297"/>
    <w:rsid w:val="00203F96"/>
    <w:rsid w:val="002069B2"/>
    <w:rsid w:val="00207FA3"/>
    <w:rsid w:val="00214DA8"/>
    <w:rsid w:val="00215423"/>
    <w:rsid w:val="002158FA"/>
    <w:rsid w:val="0021785C"/>
    <w:rsid w:val="00220600"/>
    <w:rsid w:val="00221F02"/>
    <w:rsid w:val="002224DB"/>
    <w:rsid w:val="00223FCB"/>
    <w:rsid w:val="002252C3"/>
    <w:rsid w:val="00225C54"/>
    <w:rsid w:val="0022720B"/>
    <w:rsid w:val="00230765"/>
    <w:rsid w:val="00230D18"/>
    <w:rsid w:val="002319E4"/>
    <w:rsid w:val="00233110"/>
    <w:rsid w:val="002336F0"/>
    <w:rsid w:val="002342D5"/>
    <w:rsid w:val="00235632"/>
    <w:rsid w:val="00235872"/>
    <w:rsid w:val="00241559"/>
    <w:rsid w:val="002435B3"/>
    <w:rsid w:val="002458EB"/>
    <w:rsid w:val="002475ED"/>
    <w:rsid w:val="002500C8"/>
    <w:rsid w:val="00255FB6"/>
    <w:rsid w:val="002564CF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3F1"/>
    <w:rsid w:val="00286ACD"/>
    <w:rsid w:val="00287838"/>
    <w:rsid w:val="002907B5"/>
    <w:rsid w:val="00292EB7"/>
    <w:rsid w:val="002957C6"/>
    <w:rsid w:val="0029614F"/>
    <w:rsid w:val="00296227"/>
    <w:rsid w:val="00296F44"/>
    <w:rsid w:val="00297465"/>
    <w:rsid w:val="0029777D"/>
    <w:rsid w:val="002A055E"/>
    <w:rsid w:val="002A1D4E"/>
    <w:rsid w:val="002A2869"/>
    <w:rsid w:val="002A30EC"/>
    <w:rsid w:val="002B24D6"/>
    <w:rsid w:val="002C06AD"/>
    <w:rsid w:val="002C41E6"/>
    <w:rsid w:val="002C73B3"/>
    <w:rsid w:val="002D071A"/>
    <w:rsid w:val="002D1DF1"/>
    <w:rsid w:val="002D34B2"/>
    <w:rsid w:val="002D3BCA"/>
    <w:rsid w:val="002D48B0"/>
    <w:rsid w:val="002D5B37"/>
    <w:rsid w:val="002D5E0F"/>
    <w:rsid w:val="002D7637"/>
    <w:rsid w:val="002E17F2"/>
    <w:rsid w:val="002E6544"/>
    <w:rsid w:val="002E7CAE"/>
    <w:rsid w:val="002F2771"/>
    <w:rsid w:val="002F37A9"/>
    <w:rsid w:val="002F4F79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4579"/>
    <w:rsid w:val="00335858"/>
    <w:rsid w:val="0033588E"/>
    <w:rsid w:val="0033594C"/>
    <w:rsid w:val="00336BDA"/>
    <w:rsid w:val="003412BA"/>
    <w:rsid w:val="003429D4"/>
    <w:rsid w:val="00342BD7"/>
    <w:rsid w:val="0034507D"/>
    <w:rsid w:val="003451BC"/>
    <w:rsid w:val="00346DB5"/>
    <w:rsid w:val="003477B1"/>
    <w:rsid w:val="003540E8"/>
    <w:rsid w:val="00357380"/>
    <w:rsid w:val="003602D9"/>
    <w:rsid w:val="003604CE"/>
    <w:rsid w:val="00363C31"/>
    <w:rsid w:val="00370E47"/>
    <w:rsid w:val="00373A77"/>
    <w:rsid w:val="003742AC"/>
    <w:rsid w:val="00374379"/>
    <w:rsid w:val="00377CE1"/>
    <w:rsid w:val="00385BF0"/>
    <w:rsid w:val="003939FF"/>
    <w:rsid w:val="0039553D"/>
    <w:rsid w:val="003965F0"/>
    <w:rsid w:val="00397C26"/>
    <w:rsid w:val="003A2223"/>
    <w:rsid w:val="003A2A0F"/>
    <w:rsid w:val="003A45A1"/>
    <w:rsid w:val="003A5B0A"/>
    <w:rsid w:val="003A5F01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7806"/>
    <w:rsid w:val="003D109F"/>
    <w:rsid w:val="003D1E7A"/>
    <w:rsid w:val="003D2478"/>
    <w:rsid w:val="003D383E"/>
    <w:rsid w:val="003D3C45"/>
    <w:rsid w:val="003D5B1F"/>
    <w:rsid w:val="003E15FA"/>
    <w:rsid w:val="003E55E4"/>
    <w:rsid w:val="003E74E3"/>
    <w:rsid w:val="003F05C7"/>
    <w:rsid w:val="003F2CD4"/>
    <w:rsid w:val="003F3687"/>
    <w:rsid w:val="003F6BBE"/>
    <w:rsid w:val="003F7EC2"/>
    <w:rsid w:val="004000E8"/>
    <w:rsid w:val="00402E2B"/>
    <w:rsid w:val="0040512B"/>
    <w:rsid w:val="0040541D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67B"/>
    <w:rsid w:val="00422AA4"/>
    <w:rsid w:val="004242F4"/>
    <w:rsid w:val="00425FBA"/>
    <w:rsid w:val="00427248"/>
    <w:rsid w:val="004321E1"/>
    <w:rsid w:val="00432DDF"/>
    <w:rsid w:val="00433ACC"/>
    <w:rsid w:val="00437447"/>
    <w:rsid w:val="00437C84"/>
    <w:rsid w:val="00441A92"/>
    <w:rsid w:val="004431DC"/>
    <w:rsid w:val="00443234"/>
    <w:rsid w:val="004441EF"/>
    <w:rsid w:val="00444F56"/>
    <w:rsid w:val="0044595E"/>
    <w:rsid w:val="00446488"/>
    <w:rsid w:val="0044660D"/>
    <w:rsid w:val="004517AA"/>
    <w:rsid w:val="00452CAC"/>
    <w:rsid w:val="00457565"/>
    <w:rsid w:val="00457B71"/>
    <w:rsid w:val="00463957"/>
    <w:rsid w:val="004669E2"/>
    <w:rsid w:val="00466E62"/>
    <w:rsid w:val="00470C31"/>
    <w:rsid w:val="00471DE0"/>
    <w:rsid w:val="004734D0"/>
    <w:rsid w:val="0047556B"/>
    <w:rsid w:val="00477768"/>
    <w:rsid w:val="00484CBE"/>
    <w:rsid w:val="0048625B"/>
    <w:rsid w:val="00492BC5"/>
    <w:rsid w:val="00493396"/>
    <w:rsid w:val="004964F1"/>
    <w:rsid w:val="004A16BC"/>
    <w:rsid w:val="004A2476"/>
    <w:rsid w:val="004A2B94"/>
    <w:rsid w:val="004A3164"/>
    <w:rsid w:val="004A6BC3"/>
    <w:rsid w:val="004B4904"/>
    <w:rsid w:val="004B6F6A"/>
    <w:rsid w:val="004B7BC9"/>
    <w:rsid w:val="004B7C0C"/>
    <w:rsid w:val="004C224A"/>
    <w:rsid w:val="004C2755"/>
    <w:rsid w:val="004C3898"/>
    <w:rsid w:val="004C3C6F"/>
    <w:rsid w:val="004C4E7A"/>
    <w:rsid w:val="004D36B1"/>
    <w:rsid w:val="004D56C3"/>
    <w:rsid w:val="004D7A6A"/>
    <w:rsid w:val="004D7EBD"/>
    <w:rsid w:val="004E2680"/>
    <w:rsid w:val="004E28F9"/>
    <w:rsid w:val="004E462E"/>
    <w:rsid w:val="004E56DC"/>
    <w:rsid w:val="004E76F4"/>
    <w:rsid w:val="004F0B4E"/>
    <w:rsid w:val="004F0B6C"/>
    <w:rsid w:val="004F1E1D"/>
    <w:rsid w:val="004F2078"/>
    <w:rsid w:val="004F4DA3"/>
    <w:rsid w:val="004F7343"/>
    <w:rsid w:val="004F7F2F"/>
    <w:rsid w:val="005002AA"/>
    <w:rsid w:val="00502B4C"/>
    <w:rsid w:val="00506557"/>
    <w:rsid w:val="0050677A"/>
    <w:rsid w:val="0050700A"/>
    <w:rsid w:val="005108D8"/>
    <w:rsid w:val="005116F9"/>
    <w:rsid w:val="005129AD"/>
    <w:rsid w:val="005153A7"/>
    <w:rsid w:val="00517536"/>
    <w:rsid w:val="005219CF"/>
    <w:rsid w:val="00531465"/>
    <w:rsid w:val="00534B59"/>
    <w:rsid w:val="00536759"/>
    <w:rsid w:val="00537631"/>
    <w:rsid w:val="00537C62"/>
    <w:rsid w:val="005418DB"/>
    <w:rsid w:val="00541D15"/>
    <w:rsid w:val="0054349A"/>
    <w:rsid w:val="0054438E"/>
    <w:rsid w:val="00546970"/>
    <w:rsid w:val="005506D4"/>
    <w:rsid w:val="00550B77"/>
    <w:rsid w:val="0055192F"/>
    <w:rsid w:val="00552C75"/>
    <w:rsid w:val="00554E19"/>
    <w:rsid w:val="0056121F"/>
    <w:rsid w:val="00562155"/>
    <w:rsid w:val="00567046"/>
    <w:rsid w:val="00572505"/>
    <w:rsid w:val="00573C68"/>
    <w:rsid w:val="005766F7"/>
    <w:rsid w:val="00582809"/>
    <w:rsid w:val="00583A10"/>
    <w:rsid w:val="0058798C"/>
    <w:rsid w:val="00587BD2"/>
    <w:rsid w:val="005900FA"/>
    <w:rsid w:val="005904F2"/>
    <w:rsid w:val="005923F7"/>
    <w:rsid w:val="005935A4"/>
    <w:rsid w:val="005948C2"/>
    <w:rsid w:val="00595DCA"/>
    <w:rsid w:val="0059779B"/>
    <w:rsid w:val="005A209A"/>
    <w:rsid w:val="005A53A6"/>
    <w:rsid w:val="005A662D"/>
    <w:rsid w:val="005B1409"/>
    <w:rsid w:val="005B35D7"/>
    <w:rsid w:val="005B392A"/>
    <w:rsid w:val="005B3AA3"/>
    <w:rsid w:val="005B3E67"/>
    <w:rsid w:val="005B60D7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520"/>
    <w:rsid w:val="0060283C"/>
    <w:rsid w:val="00604F14"/>
    <w:rsid w:val="00611B83"/>
    <w:rsid w:val="00613257"/>
    <w:rsid w:val="00617F74"/>
    <w:rsid w:val="00620A71"/>
    <w:rsid w:val="00620D80"/>
    <w:rsid w:val="006234A6"/>
    <w:rsid w:val="006235DF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41F2"/>
    <w:rsid w:val="00674CC3"/>
    <w:rsid w:val="00675C72"/>
    <w:rsid w:val="006771F9"/>
    <w:rsid w:val="006776D7"/>
    <w:rsid w:val="00681003"/>
    <w:rsid w:val="006817C9"/>
    <w:rsid w:val="00683393"/>
    <w:rsid w:val="00683ECE"/>
    <w:rsid w:val="006874FA"/>
    <w:rsid w:val="006911CB"/>
    <w:rsid w:val="00695FC2"/>
    <w:rsid w:val="006968A8"/>
    <w:rsid w:val="00696949"/>
    <w:rsid w:val="00697052"/>
    <w:rsid w:val="00697BB4"/>
    <w:rsid w:val="006A1589"/>
    <w:rsid w:val="006A30BE"/>
    <w:rsid w:val="006A46FB"/>
    <w:rsid w:val="006A5E28"/>
    <w:rsid w:val="006A697B"/>
    <w:rsid w:val="006A7AFF"/>
    <w:rsid w:val="006B1816"/>
    <w:rsid w:val="006B2099"/>
    <w:rsid w:val="006B246C"/>
    <w:rsid w:val="006B50CF"/>
    <w:rsid w:val="006C03B8"/>
    <w:rsid w:val="006C1F9E"/>
    <w:rsid w:val="006C5EC9"/>
    <w:rsid w:val="006C6059"/>
    <w:rsid w:val="006C701B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8D4"/>
    <w:rsid w:val="006F6582"/>
    <w:rsid w:val="00700574"/>
    <w:rsid w:val="00702096"/>
    <w:rsid w:val="0070226D"/>
    <w:rsid w:val="0070346E"/>
    <w:rsid w:val="00704CF9"/>
    <w:rsid w:val="00704EDB"/>
    <w:rsid w:val="00705C77"/>
    <w:rsid w:val="00706101"/>
    <w:rsid w:val="00707072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48B1"/>
    <w:rsid w:val="00735A32"/>
    <w:rsid w:val="007362A6"/>
    <w:rsid w:val="00736D7D"/>
    <w:rsid w:val="00740E58"/>
    <w:rsid w:val="007445A0"/>
    <w:rsid w:val="0074524B"/>
    <w:rsid w:val="00747D8B"/>
    <w:rsid w:val="00751228"/>
    <w:rsid w:val="007513CF"/>
    <w:rsid w:val="007571E1"/>
    <w:rsid w:val="00757A16"/>
    <w:rsid w:val="007604B2"/>
    <w:rsid w:val="007614FA"/>
    <w:rsid w:val="00764E62"/>
    <w:rsid w:val="00765281"/>
    <w:rsid w:val="00766BAD"/>
    <w:rsid w:val="007729A2"/>
    <w:rsid w:val="007755F2"/>
    <w:rsid w:val="00776605"/>
    <w:rsid w:val="00776971"/>
    <w:rsid w:val="00777F1D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AA8"/>
    <w:rsid w:val="007A1CB3"/>
    <w:rsid w:val="007A306F"/>
    <w:rsid w:val="007A43A6"/>
    <w:rsid w:val="007A58A6"/>
    <w:rsid w:val="007B3D2D"/>
    <w:rsid w:val="007B44B7"/>
    <w:rsid w:val="007B50AE"/>
    <w:rsid w:val="007B51DF"/>
    <w:rsid w:val="007C05DD"/>
    <w:rsid w:val="007C06BE"/>
    <w:rsid w:val="007C3D18"/>
    <w:rsid w:val="007C60BF"/>
    <w:rsid w:val="007C6A07"/>
    <w:rsid w:val="007C75A1"/>
    <w:rsid w:val="007C77A5"/>
    <w:rsid w:val="007D04E5"/>
    <w:rsid w:val="007D3277"/>
    <w:rsid w:val="007D5901"/>
    <w:rsid w:val="007D7526"/>
    <w:rsid w:val="007E0AA7"/>
    <w:rsid w:val="007E2AE7"/>
    <w:rsid w:val="007E4610"/>
    <w:rsid w:val="007E4715"/>
    <w:rsid w:val="007E505B"/>
    <w:rsid w:val="007E7091"/>
    <w:rsid w:val="007F15C1"/>
    <w:rsid w:val="007F4C9B"/>
    <w:rsid w:val="007F7CCD"/>
    <w:rsid w:val="00803FAE"/>
    <w:rsid w:val="0080605F"/>
    <w:rsid w:val="00806756"/>
    <w:rsid w:val="00807774"/>
    <w:rsid w:val="00807786"/>
    <w:rsid w:val="00811FCB"/>
    <w:rsid w:val="00812860"/>
    <w:rsid w:val="008138B1"/>
    <w:rsid w:val="008158D6"/>
    <w:rsid w:val="00817196"/>
    <w:rsid w:val="008235DB"/>
    <w:rsid w:val="00824AB4"/>
    <w:rsid w:val="00825C42"/>
    <w:rsid w:val="00825D25"/>
    <w:rsid w:val="00827D6F"/>
    <w:rsid w:val="00835AA4"/>
    <w:rsid w:val="008370FA"/>
    <w:rsid w:val="008376AC"/>
    <w:rsid w:val="00842A0D"/>
    <w:rsid w:val="008444E8"/>
    <w:rsid w:val="00844E80"/>
    <w:rsid w:val="00846FE7"/>
    <w:rsid w:val="00856078"/>
    <w:rsid w:val="00856911"/>
    <w:rsid w:val="008677FD"/>
    <w:rsid w:val="008706D4"/>
    <w:rsid w:val="008707EF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4269"/>
    <w:rsid w:val="008860F9"/>
    <w:rsid w:val="008878BF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120C"/>
    <w:rsid w:val="008B1AE8"/>
    <w:rsid w:val="008B51A0"/>
    <w:rsid w:val="008B592A"/>
    <w:rsid w:val="008B61A7"/>
    <w:rsid w:val="008B7B5C"/>
    <w:rsid w:val="008C0C99"/>
    <w:rsid w:val="008C2017"/>
    <w:rsid w:val="008C4958"/>
    <w:rsid w:val="008C4BAA"/>
    <w:rsid w:val="008C6AE8"/>
    <w:rsid w:val="008C7573"/>
    <w:rsid w:val="008D00A5"/>
    <w:rsid w:val="008D1926"/>
    <w:rsid w:val="008D34F1"/>
    <w:rsid w:val="008D39D8"/>
    <w:rsid w:val="008D6D1A"/>
    <w:rsid w:val="008D7438"/>
    <w:rsid w:val="008E065E"/>
    <w:rsid w:val="008E0927"/>
    <w:rsid w:val="008E1909"/>
    <w:rsid w:val="008E3C92"/>
    <w:rsid w:val="008E54EE"/>
    <w:rsid w:val="008F106C"/>
    <w:rsid w:val="008F1EAB"/>
    <w:rsid w:val="008F33DC"/>
    <w:rsid w:val="008F477F"/>
    <w:rsid w:val="008F47C7"/>
    <w:rsid w:val="008F55C3"/>
    <w:rsid w:val="008F5F21"/>
    <w:rsid w:val="00900A54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565"/>
    <w:rsid w:val="00920BF2"/>
    <w:rsid w:val="00922010"/>
    <w:rsid w:val="00924C52"/>
    <w:rsid w:val="009312FC"/>
    <w:rsid w:val="00931BD9"/>
    <w:rsid w:val="009365FF"/>
    <w:rsid w:val="00936875"/>
    <w:rsid w:val="009368F3"/>
    <w:rsid w:val="00940A64"/>
    <w:rsid w:val="009412AC"/>
    <w:rsid w:val="00941636"/>
    <w:rsid w:val="00943742"/>
    <w:rsid w:val="00943DAB"/>
    <w:rsid w:val="009451EA"/>
    <w:rsid w:val="00945C05"/>
    <w:rsid w:val="00946945"/>
    <w:rsid w:val="00947713"/>
    <w:rsid w:val="00950DE7"/>
    <w:rsid w:val="0095134F"/>
    <w:rsid w:val="00953920"/>
    <w:rsid w:val="00953D47"/>
    <w:rsid w:val="0095681E"/>
    <w:rsid w:val="009572D4"/>
    <w:rsid w:val="00961921"/>
    <w:rsid w:val="0096289D"/>
    <w:rsid w:val="0096355A"/>
    <w:rsid w:val="00963F30"/>
    <w:rsid w:val="0096430A"/>
    <w:rsid w:val="0096554B"/>
    <w:rsid w:val="0096584A"/>
    <w:rsid w:val="00966101"/>
    <w:rsid w:val="00971F08"/>
    <w:rsid w:val="0097603D"/>
    <w:rsid w:val="00976949"/>
    <w:rsid w:val="00980477"/>
    <w:rsid w:val="00985253"/>
    <w:rsid w:val="009853B3"/>
    <w:rsid w:val="00990630"/>
    <w:rsid w:val="00991761"/>
    <w:rsid w:val="00993A41"/>
    <w:rsid w:val="00994DCA"/>
    <w:rsid w:val="009960EC"/>
    <w:rsid w:val="009970DD"/>
    <w:rsid w:val="00997F1B"/>
    <w:rsid w:val="009A027F"/>
    <w:rsid w:val="009A0FBA"/>
    <w:rsid w:val="009A1601"/>
    <w:rsid w:val="009A22F4"/>
    <w:rsid w:val="009A367F"/>
    <w:rsid w:val="009A3BB6"/>
    <w:rsid w:val="009A462D"/>
    <w:rsid w:val="009A5CBA"/>
    <w:rsid w:val="009A6EA7"/>
    <w:rsid w:val="009A7D69"/>
    <w:rsid w:val="009A7E4D"/>
    <w:rsid w:val="009B1A7D"/>
    <w:rsid w:val="009B1F30"/>
    <w:rsid w:val="009B3AC2"/>
    <w:rsid w:val="009B4DF4"/>
    <w:rsid w:val="009B564E"/>
    <w:rsid w:val="009B7E87"/>
    <w:rsid w:val="009C0169"/>
    <w:rsid w:val="009C403E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7A3"/>
    <w:rsid w:val="009F08F3"/>
    <w:rsid w:val="009F344F"/>
    <w:rsid w:val="009F7E6F"/>
    <w:rsid w:val="00A031D8"/>
    <w:rsid w:val="00A048A8"/>
    <w:rsid w:val="00A04F49"/>
    <w:rsid w:val="00A05C01"/>
    <w:rsid w:val="00A138EF"/>
    <w:rsid w:val="00A13E54"/>
    <w:rsid w:val="00A17F63"/>
    <w:rsid w:val="00A208BA"/>
    <w:rsid w:val="00A2193B"/>
    <w:rsid w:val="00A2351A"/>
    <w:rsid w:val="00A264A9"/>
    <w:rsid w:val="00A269C9"/>
    <w:rsid w:val="00A26DCF"/>
    <w:rsid w:val="00A27785"/>
    <w:rsid w:val="00A30187"/>
    <w:rsid w:val="00A329BA"/>
    <w:rsid w:val="00A3448A"/>
    <w:rsid w:val="00A36297"/>
    <w:rsid w:val="00A41E2B"/>
    <w:rsid w:val="00A42CD6"/>
    <w:rsid w:val="00A4343F"/>
    <w:rsid w:val="00A45B74"/>
    <w:rsid w:val="00A47CDB"/>
    <w:rsid w:val="00A523DD"/>
    <w:rsid w:val="00A52E1D"/>
    <w:rsid w:val="00A555F4"/>
    <w:rsid w:val="00A569E3"/>
    <w:rsid w:val="00A57C71"/>
    <w:rsid w:val="00A60009"/>
    <w:rsid w:val="00A61499"/>
    <w:rsid w:val="00A62A77"/>
    <w:rsid w:val="00A63483"/>
    <w:rsid w:val="00A657D7"/>
    <w:rsid w:val="00A660AC"/>
    <w:rsid w:val="00A67E6C"/>
    <w:rsid w:val="00A702FF"/>
    <w:rsid w:val="00A71B99"/>
    <w:rsid w:val="00A739D0"/>
    <w:rsid w:val="00A75F11"/>
    <w:rsid w:val="00A761D4"/>
    <w:rsid w:val="00A77EC4"/>
    <w:rsid w:val="00A8454D"/>
    <w:rsid w:val="00A8544D"/>
    <w:rsid w:val="00A92879"/>
    <w:rsid w:val="00A9442A"/>
    <w:rsid w:val="00AA016F"/>
    <w:rsid w:val="00AA1ED6"/>
    <w:rsid w:val="00AA424A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7769"/>
    <w:rsid w:val="00AD0AA3"/>
    <w:rsid w:val="00AD2C6C"/>
    <w:rsid w:val="00AD3F94"/>
    <w:rsid w:val="00AD44A1"/>
    <w:rsid w:val="00AD4A5A"/>
    <w:rsid w:val="00AE0591"/>
    <w:rsid w:val="00AE2773"/>
    <w:rsid w:val="00AE27AC"/>
    <w:rsid w:val="00AE298B"/>
    <w:rsid w:val="00AE40E0"/>
    <w:rsid w:val="00AE480D"/>
    <w:rsid w:val="00AE4DBA"/>
    <w:rsid w:val="00AE4F07"/>
    <w:rsid w:val="00AF1C5D"/>
    <w:rsid w:val="00AF1FBA"/>
    <w:rsid w:val="00AF42D7"/>
    <w:rsid w:val="00B006FE"/>
    <w:rsid w:val="00B007CB"/>
    <w:rsid w:val="00B01ABA"/>
    <w:rsid w:val="00B02AA9"/>
    <w:rsid w:val="00B02FA3"/>
    <w:rsid w:val="00B02FD0"/>
    <w:rsid w:val="00B04D41"/>
    <w:rsid w:val="00B05084"/>
    <w:rsid w:val="00B0750B"/>
    <w:rsid w:val="00B0784C"/>
    <w:rsid w:val="00B10084"/>
    <w:rsid w:val="00B157F9"/>
    <w:rsid w:val="00B20256"/>
    <w:rsid w:val="00B20D09"/>
    <w:rsid w:val="00B21539"/>
    <w:rsid w:val="00B23F38"/>
    <w:rsid w:val="00B2597C"/>
    <w:rsid w:val="00B2724D"/>
    <w:rsid w:val="00B2763F"/>
    <w:rsid w:val="00B27AAC"/>
    <w:rsid w:val="00B30929"/>
    <w:rsid w:val="00B30A17"/>
    <w:rsid w:val="00B30DDD"/>
    <w:rsid w:val="00B31EFC"/>
    <w:rsid w:val="00B372AA"/>
    <w:rsid w:val="00B400B7"/>
    <w:rsid w:val="00B40445"/>
    <w:rsid w:val="00B409E0"/>
    <w:rsid w:val="00B41888"/>
    <w:rsid w:val="00B41E36"/>
    <w:rsid w:val="00B4509A"/>
    <w:rsid w:val="00B45607"/>
    <w:rsid w:val="00B45A52"/>
    <w:rsid w:val="00B46175"/>
    <w:rsid w:val="00B512D1"/>
    <w:rsid w:val="00B5180D"/>
    <w:rsid w:val="00B53E25"/>
    <w:rsid w:val="00B548B7"/>
    <w:rsid w:val="00B554D7"/>
    <w:rsid w:val="00B642C9"/>
    <w:rsid w:val="00B664C7"/>
    <w:rsid w:val="00B66A86"/>
    <w:rsid w:val="00B739F6"/>
    <w:rsid w:val="00B75B11"/>
    <w:rsid w:val="00B76681"/>
    <w:rsid w:val="00B76FFF"/>
    <w:rsid w:val="00B80526"/>
    <w:rsid w:val="00B81A6C"/>
    <w:rsid w:val="00B85DE5"/>
    <w:rsid w:val="00B90F18"/>
    <w:rsid w:val="00B90F73"/>
    <w:rsid w:val="00B92282"/>
    <w:rsid w:val="00B93B59"/>
    <w:rsid w:val="00B9406A"/>
    <w:rsid w:val="00B95007"/>
    <w:rsid w:val="00B97CA3"/>
    <w:rsid w:val="00BA2280"/>
    <w:rsid w:val="00BA2A08"/>
    <w:rsid w:val="00BA56D2"/>
    <w:rsid w:val="00BA63D3"/>
    <w:rsid w:val="00BA6C5C"/>
    <w:rsid w:val="00BA76E0"/>
    <w:rsid w:val="00BB2A25"/>
    <w:rsid w:val="00BB51E9"/>
    <w:rsid w:val="00BB52B0"/>
    <w:rsid w:val="00BC0FDC"/>
    <w:rsid w:val="00BC3053"/>
    <w:rsid w:val="00BC4D2E"/>
    <w:rsid w:val="00BD3A66"/>
    <w:rsid w:val="00BD4634"/>
    <w:rsid w:val="00BD48AC"/>
    <w:rsid w:val="00BD57C5"/>
    <w:rsid w:val="00BD5F1A"/>
    <w:rsid w:val="00BD713D"/>
    <w:rsid w:val="00BE1234"/>
    <w:rsid w:val="00BE2FA6"/>
    <w:rsid w:val="00BE333F"/>
    <w:rsid w:val="00BE5122"/>
    <w:rsid w:val="00BE7406"/>
    <w:rsid w:val="00BE7603"/>
    <w:rsid w:val="00BF08B7"/>
    <w:rsid w:val="00BF3279"/>
    <w:rsid w:val="00BF4334"/>
    <w:rsid w:val="00BF74C7"/>
    <w:rsid w:val="00C015F1"/>
    <w:rsid w:val="00C01F33"/>
    <w:rsid w:val="00C02CC6"/>
    <w:rsid w:val="00C040F7"/>
    <w:rsid w:val="00C044AB"/>
    <w:rsid w:val="00C05706"/>
    <w:rsid w:val="00C057E5"/>
    <w:rsid w:val="00C06932"/>
    <w:rsid w:val="00C07377"/>
    <w:rsid w:val="00C10478"/>
    <w:rsid w:val="00C12107"/>
    <w:rsid w:val="00C14D4B"/>
    <w:rsid w:val="00C154BB"/>
    <w:rsid w:val="00C279B5"/>
    <w:rsid w:val="00C27C45"/>
    <w:rsid w:val="00C27D6B"/>
    <w:rsid w:val="00C31776"/>
    <w:rsid w:val="00C3719D"/>
    <w:rsid w:val="00C37CB2"/>
    <w:rsid w:val="00C37F97"/>
    <w:rsid w:val="00C473A5"/>
    <w:rsid w:val="00C54995"/>
    <w:rsid w:val="00C54D41"/>
    <w:rsid w:val="00C55D5E"/>
    <w:rsid w:val="00C56BB3"/>
    <w:rsid w:val="00C60783"/>
    <w:rsid w:val="00C627DA"/>
    <w:rsid w:val="00C64672"/>
    <w:rsid w:val="00C70697"/>
    <w:rsid w:val="00C70DE7"/>
    <w:rsid w:val="00C72093"/>
    <w:rsid w:val="00C72EF4"/>
    <w:rsid w:val="00C744FE"/>
    <w:rsid w:val="00C75D2F"/>
    <w:rsid w:val="00C767BE"/>
    <w:rsid w:val="00C76E3C"/>
    <w:rsid w:val="00C80A8C"/>
    <w:rsid w:val="00C81568"/>
    <w:rsid w:val="00C9027A"/>
    <w:rsid w:val="00C9068E"/>
    <w:rsid w:val="00C93814"/>
    <w:rsid w:val="00C93C4B"/>
    <w:rsid w:val="00C93D68"/>
    <w:rsid w:val="00C944AB"/>
    <w:rsid w:val="00C94C13"/>
    <w:rsid w:val="00C9538C"/>
    <w:rsid w:val="00C95B40"/>
    <w:rsid w:val="00CA03AA"/>
    <w:rsid w:val="00CA1ED8"/>
    <w:rsid w:val="00CA5626"/>
    <w:rsid w:val="00CB1189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EA0"/>
    <w:rsid w:val="00CC7B45"/>
    <w:rsid w:val="00CD1188"/>
    <w:rsid w:val="00CD2ED1"/>
    <w:rsid w:val="00CD337B"/>
    <w:rsid w:val="00CD6EB7"/>
    <w:rsid w:val="00CD7C22"/>
    <w:rsid w:val="00CE0424"/>
    <w:rsid w:val="00CE15B4"/>
    <w:rsid w:val="00CE7561"/>
    <w:rsid w:val="00CF1354"/>
    <w:rsid w:val="00CF2790"/>
    <w:rsid w:val="00CF3B1F"/>
    <w:rsid w:val="00CF3BF6"/>
    <w:rsid w:val="00CF625B"/>
    <w:rsid w:val="00CF687E"/>
    <w:rsid w:val="00CF6A08"/>
    <w:rsid w:val="00CF7B8F"/>
    <w:rsid w:val="00D0349B"/>
    <w:rsid w:val="00D04779"/>
    <w:rsid w:val="00D10249"/>
    <w:rsid w:val="00D115C3"/>
    <w:rsid w:val="00D11897"/>
    <w:rsid w:val="00D13135"/>
    <w:rsid w:val="00D13E4E"/>
    <w:rsid w:val="00D16481"/>
    <w:rsid w:val="00D16C1E"/>
    <w:rsid w:val="00D239A7"/>
    <w:rsid w:val="00D23F47"/>
    <w:rsid w:val="00D35852"/>
    <w:rsid w:val="00D35EEC"/>
    <w:rsid w:val="00D36E71"/>
    <w:rsid w:val="00D37D87"/>
    <w:rsid w:val="00D40B33"/>
    <w:rsid w:val="00D42D85"/>
    <w:rsid w:val="00D4318F"/>
    <w:rsid w:val="00D438BF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306F"/>
    <w:rsid w:val="00D652B5"/>
    <w:rsid w:val="00D66155"/>
    <w:rsid w:val="00D661FF"/>
    <w:rsid w:val="00D665B9"/>
    <w:rsid w:val="00D672DD"/>
    <w:rsid w:val="00D708B0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70BB"/>
    <w:rsid w:val="00DA0BFD"/>
    <w:rsid w:val="00DA305E"/>
    <w:rsid w:val="00DA51FD"/>
    <w:rsid w:val="00DA5417"/>
    <w:rsid w:val="00DA56E8"/>
    <w:rsid w:val="00DB0A9F"/>
    <w:rsid w:val="00DB377D"/>
    <w:rsid w:val="00DB4749"/>
    <w:rsid w:val="00DC2D36"/>
    <w:rsid w:val="00DC53EF"/>
    <w:rsid w:val="00DD300C"/>
    <w:rsid w:val="00DE5608"/>
    <w:rsid w:val="00DE58D0"/>
    <w:rsid w:val="00DE654F"/>
    <w:rsid w:val="00DF0B6E"/>
    <w:rsid w:val="00DF15E0"/>
    <w:rsid w:val="00DF37A0"/>
    <w:rsid w:val="00DF380A"/>
    <w:rsid w:val="00E03F6D"/>
    <w:rsid w:val="00E04DFA"/>
    <w:rsid w:val="00E052FA"/>
    <w:rsid w:val="00E07876"/>
    <w:rsid w:val="00E110E7"/>
    <w:rsid w:val="00E11B20"/>
    <w:rsid w:val="00E15307"/>
    <w:rsid w:val="00E17FA2"/>
    <w:rsid w:val="00E2093E"/>
    <w:rsid w:val="00E209E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50A7F"/>
    <w:rsid w:val="00E51C1E"/>
    <w:rsid w:val="00E53B75"/>
    <w:rsid w:val="00E54E3B"/>
    <w:rsid w:val="00E569C7"/>
    <w:rsid w:val="00E57565"/>
    <w:rsid w:val="00E63838"/>
    <w:rsid w:val="00E64434"/>
    <w:rsid w:val="00E67C51"/>
    <w:rsid w:val="00E7065D"/>
    <w:rsid w:val="00E72EFC"/>
    <w:rsid w:val="00E758EC"/>
    <w:rsid w:val="00E8234C"/>
    <w:rsid w:val="00E827E0"/>
    <w:rsid w:val="00E82863"/>
    <w:rsid w:val="00E83AA9"/>
    <w:rsid w:val="00E85928"/>
    <w:rsid w:val="00E87822"/>
    <w:rsid w:val="00E90395"/>
    <w:rsid w:val="00E90E49"/>
    <w:rsid w:val="00E911C6"/>
    <w:rsid w:val="00E917F9"/>
    <w:rsid w:val="00E9291C"/>
    <w:rsid w:val="00E93FFE"/>
    <w:rsid w:val="00E94F8A"/>
    <w:rsid w:val="00EA1EBF"/>
    <w:rsid w:val="00EA7A41"/>
    <w:rsid w:val="00EB077B"/>
    <w:rsid w:val="00EB0C4D"/>
    <w:rsid w:val="00EB4EA2"/>
    <w:rsid w:val="00EB62B8"/>
    <w:rsid w:val="00EC2066"/>
    <w:rsid w:val="00EC24D5"/>
    <w:rsid w:val="00EC27C6"/>
    <w:rsid w:val="00EC4207"/>
    <w:rsid w:val="00EC4447"/>
    <w:rsid w:val="00EC5653"/>
    <w:rsid w:val="00EC6C7F"/>
    <w:rsid w:val="00EC71CE"/>
    <w:rsid w:val="00EC752F"/>
    <w:rsid w:val="00ED1006"/>
    <w:rsid w:val="00ED1141"/>
    <w:rsid w:val="00ED32A1"/>
    <w:rsid w:val="00ED499F"/>
    <w:rsid w:val="00EE01EA"/>
    <w:rsid w:val="00EE07E6"/>
    <w:rsid w:val="00EE2034"/>
    <w:rsid w:val="00EE435A"/>
    <w:rsid w:val="00EE5949"/>
    <w:rsid w:val="00EE68A5"/>
    <w:rsid w:val="00EF18FE"/>
    <w:rsid w:val="00EF19E6"/>
    <w:rsid w:val="00EF3121"/>
    <w:rsid w:val="00EF4F55"/>
    <w:rsid w:val="00EF55CA"/>
    <w:rsid w:val="00EF5787"/>
    <w:rsid w:val="00EF60D0"/>
    <w:rsid w:val="00F04204"/>
    <w:rsid w:val="00F0528D"/>
    <w:rsid w:val="00F06C67"/>
    <w:rsid w:val="00F06DFD"/>
    <w:rsid w:val="00F071D1"/>
    <w:rsid w:val="00F07533"/>
    <w:rsid w:val="00F10629"/>
    <w:rsid w:val="00F108ED"/>
    <w:rsid w:val="00F130CB"/>
    <w:rsid w:val="00F15FA5"/>
    <w:rsid w:val="00F1621E"/>
    <w:rsid w:val="00F209B7"/>
    <w:rsid w:val="00F2376F"/>
    <w:rsid w:val="00F243D8"/>
    <w:rsid w:val="00F30828"/>
    <w:rsid w:val="00F310D2"/>
    <w:rsid w:val="00F313D6"/>
    <w:rsid w:val="00F33407"/>
    <w:rsid w:val="00F40F0C"/>
    <w:rsid w:val="00F420E7"/>
    <w:rsid w:val="00F449AF"/>
    <w:rsid w:val="00F4766C"/>
    <w:rsid w:val="00F5060E"/>
    <w:rsid w:val="00F507D1"/>
    <w:rsid w:val="00F519CE"/>
    <w:rsid w:val="00F51ADA"/>
    <w:rsid w:val="00F51FB3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EC3"/>
    <w:rsid w:val="00F96404"/>
    <w:rsid w:val="00F96985"/>
    <w:rsid w:val="00F97838"/>
    <w:rsid w:val="00FA2991"/>
    <w:rsid w:val="00FA2BB3"/>
    <w:rsid w:val="00FA431D"/>
    <w:rsid w:val="00FB49BF"/>
    <w:rsid w:val="00FB4C80"/>
    <w:rsid w:val="00FB6A6A"/>
    <w:rsid w:val="00FC12FA"/>
    <w:rsid w:val="00FC359A"/>
    <w:rsid w:val="00FC3C3B"/>
    <w:rsid w:val="00FC5582"/>
    <w:rsid w:val="00FC7429"/>
    <w:rsid w:val="00FD07F6"/>
    <w:rsid w:val="00FD16A6"/>
    <w:rsid w:val="00FD1EC8"/>
    <w:rsid w:val="00FD264E"/>
    <w:rsid w:val="00FD4180"/>
    <w:rsid w:val="00FD47ED"/>
    <w:rsid w:val="00FD74DB"/>
    <w:rsid w:val="00FD7660"/>
    <w:rsid w:val="00FE0655"/>
    <w:rsid w:val="00FE2365"/>
    <w:rsid w:val="00FE32B3"/>
    <w:rsid w:val="00FE37D7"/>
    <w:rsid w:val="00FE4C7B"/>
    <w:rsid w:val="00FE68F6"/>
    <w:rsid w:val="00FE7336"/>
    <w:rsid w:val="00FE787C"/>
    <w:rsid w:val="00FF3F90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C5DDC5"/>
  <w15:chartTrackingRefBased/>
  <w15:docId w15:val="{2AB08A95-0CD5-4E4C-8C77-620622D9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1648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64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6481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  <w:spacing w:after="0"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22"/>
      </w:numPr>
    </w:pPr>
  </w:style>
  <w:style w:type="paragraph" w:styleId="ListNumber">
    <w:name w:val="List Number"/>
    <w:basedOn w:val="List"/>
    <w:rsid w:val="00835A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17"/>
      </w:numPr>
    </w:pPr>
  </w:style>
  <w:style w:type="paragraph" w:styleId="ListBullet">
    <w:name w:val="List Bullet"/>
    <w:basedOn w:val="List"/>
    <w:rsid w:val="00835A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1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19"/>
      </w:numPr>
    </w:pPr>
  </w:style>
  <w:style w:type="paragraph" w:styleId="ListBullet5">
    <w:name w:val="List Bullet 5"/>
    <w:basedOn w:val="ListBullet4"/>
    <w:rsid w:val="00835AA4"/>
    <w:pPr>
      <w:numPr>
        <w:numId w:val="2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35AA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">
    <w:name w:val="Heading 1 Char"/>
    <w:link w:val="Heading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  <w:pPr>
      <w:spacing w:after="0"/>
    </w:pPr>
  </w:style>
  <w:style w:type="paragraph" w:customStyle="1" w:styleId="TAL">
    <w:name w:val="TAL"/>
    <w:basedOn w:val="Normal"/>
    <w:link w:val="TALCar"/>
    <w:qFormat/>
    <w:rsid w:val="00835AA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  <w:pPr>
      <w:spacing w:after="0"/>
    </w:pPr>
  </w:style>
  <w:style w:type="paragraph" w:customStyle="1" w:styleId="Observation">
    <w:name w:val="Observation"/>
    <w:basedOn w:val="Proposal"/>
    <w:qFormat/>
    <w:rsid w:val="00835AA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35AA4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35AA4"/>
    <w:pPr>
      <w:spacing w:after="0"/>
    </w:pPr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37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pPr>
      <w:spacing w:line="240" w:lineRule="auto"/>
    </w:pPr>
    <w:rPr>
      <w:rFonts w:cs="Times New Roman"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09_e/Docs/R2-200172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79A34FB-0508-45D6-ADA6-0758D9428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A2349A-E3FE-4FFA-93EF-F39BE40D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3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8146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revision>79</cp:revision>
  <cp:lastPrinted>2008-01-31T07:09:00Z</cp:lastPrinted>
  <dcterms:created xsi:type="dcterms:W3CDTF">2020-05-16T15:07:00Z</dcterms:created>
  <dcterms:modified xsi:type="dcterms:W3CDTF">2020-05-20T22:36:00Z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